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2B" w:rsidRPr="00147B51" w:rsidRDefault="005B7F2B" w:rsidP="005B7F2B">
      <w:pPr>
        <w:bidi w:val="0"/>
        <w:spacing w:after="120" w:line="264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fr-FR" w:bidi="ar-DZ"/>
        </w:rPr>
      </w:pPr>
      <w:r w:rsidRPr="00147B5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fr-FR" w:bidi="ar-DZ"/>
        </w:rPr>
        <w:t xml:space="preserve">محاضرات وحدة تاريخ الجزائر الحديث – المستوى السنة الثانية ليسانس تاريخ – الأستاذة طيبي مهدية </w:t>
      </w:r>
    </w:p>
    <w:p w:rsidR="00C048FE" w:rsidRDefault="0025158C" w:rsidP="00010BA7">
      <w:pPr>
        <w:spacing w:line="240" w:lineRule="auto"/>
        <w:jc w:val="both"/>
        <w:rPr>
          <w:b/>
          <w:bCs/>
          <w:rtl/>
        </w:rPr>
      </w:pPr>
      <w:r w:rsidRPr="0025158C">
        <w:rPr>
          <w:rFonts w:hint="cs"/>
          <w:b/>
          <w:bCs/>
          <w:rtl/>
        </w:rPr>
        <w:t>الم</w:t>
      </w:r>
      <w:r w:rsidR="00B130D5">
        <w:rPr>
          <w:rFonts w:hint="cs"/>
          <w:b/>
          <w:bCs/>
          <w:rtl/>
        </w:rPr>
        <w:t>ح</w:t>
      </w:r>
      <w:r w:rsidRPr="0025158C">
        <w:rPr>
          <w:rFonts w:hint="cs"/>
          <w:b/>
          <w:bCs/>
          <w:rtl/>
        </w:rPr>
        <w:t>اضرة</w:t>
      </w:r>
      <w:r w:rsidR="00C048FE">
        <w:rPr>
          <w:rFonts w:hint="cs"/>
          <w:b/>
          <w:bCs/>
          <w:rtl/>
        </w:rPr>
        <w:t xml:space="preserve"> رقم </w:t>
      </w:r>
      <w:r w:rsidR="00010BA7">
        <w:rPr>
          <w:rFonts w:hint="cs"/>
          <w:b/>
          <w:bCs/>
          <w:rtl/>
        </w:rPr>
        <w:t>5</w:t>
      </w:r>
    </w:p>
    <w:p w:rsidR="0025158C" w:rsidRPr="0025158C" w:rsidRDefault="0025158C" w:rsidP="00B130D5">
      <w:pPr>
        <w:spacing w:line="240" w:lineRule="auto"/>
        <w:jc w:val="both"/>
        <w:rPr>
          <w:b/>
          <w:bCs/>
          <w:rtl/>
        </w:rPr>
      </w:pPr>
      <w:bookmarkStart w:id="0" w:name="_GoBack"/>
      <w:r w:rsidRPr="0025158C">
        <w:rPr>
          <w:rFonts w:hint="cs"/>
          <w:b/>
          <w:bCs/>
          <w:rtl/>
        </w:rPr>
        <w:t xml:space="preserve">الثورات المحلية </w:t>
      </w:r>
      <w:bookmarkEnd w:id="0"/>
    </w:p>
    <w:p w:rsidR="00E96648" w:rsidRPr="00CA494D" w:rsidRDefault="00FF2666" w:rsidP="00CA494D">
      <w:pPr>
        <w:bidi w:val="0"/>
        <w:ind w:firstLine="0"/>
        <w:rPr>
          <w:b/>
          <w:bCs/>
          <w:rtl/>
          <w:lang w:val="fr-FR"/>
        </w:rPr>
      </w:pPr>
      <w:r>
        <w:rPr>
          <w:rFonts w:hint="cs"/>
          <w:rtl/>
        </w:rPr>
        <w:t>واجه العثمانيون عدّة انتف</w:t>
      </w:r>
      <w:r w:rsidR="0025158C">
        <w:rPr>
          <w:rFonts w:hint="cs"/>
          <w:rtl/>
        </w:rPr>
        <w:t>اضات عبر مختلف أنحاء الإيالة، و</w:t>
      </w:r>
      <w:r>
        <w:rPr>
          <w:rFonts w:hint="cs"/>
          <w:rtl/>
        </w:rPr>
        <w:t xml:space="preserve">كان سببها المباشر هي تلك السياسة الضّرائبيّة الّتي طبقتها السّلطة الحاكمة، و قد أثقلت تلك السّياسة كاهل الأهالي، مـمّا أدّى إلى قيامهم بعدّة ثورات منها ثورة القبائل </w:t>
      </w:r>
      <w:r w:rsidRPr="001C4382">
        <w:rPr>
          <w:rFonts w:hint="cs"/>
          <w:sz w:val="28"/>
          <w:szCs w:val="28"/>
          <w:rtl/>
        </w:rPr>
        <w:t>1754</w:t>
      </w:r>
      <w:r>
        <w:rPr>
          <w:rFonts w:hint="cs"/>
          <w:rtl/>
        </w:rPr>
        <w:t xml:space="preserve">، و الثّورة الدّرقاوية </w:t>
      </w:r>
      <w:r w:rsidRPr="001C4382">
        <w:rPr>
          <w:rFonts w:hint="cs"/>
          <w:sz w:val="28"/>
          <w:szCs w:val="28"/>
          <w:rtl/>
        </w:rPr>
        <w:t>1804-</w:t>
      </w:r>
      <w:r>
        <w:rPr>
          <w:rFonts w:hint="cs"/>
          <w:rtl/>
        </w:rPr>
        <w:t xml:space="preserve"> </w:t>
      </w:r>
      <w:r w:rsidRPr="001C4382">
        <w:rPr>
          <w:rFonts w:hint="cs"/>
          <w:sz w:val="28"/>
          <w:szCs w:val="28"/>
          <w:rtl/>
        </w:rPr>
        <w:t>1805م</w:t>
      </w:r>
      <w:r w:rsidR="0025158C">
        <w:rPr>
          <w:rFonts w:hint="cs"/>
          <w:rtl/>
        </w:rPr>
        <w:t>، و</w:t>
      </w:r>
      <w:r>
        <w:rPr>
          <w:rFonts w:hint="cs"/>
          <w:rtl/>
        </w:rPr>
        <w:t xml:space="preserve">ثورة النّمامشة </w:t>
      </w:r>
      <w:r w:rsidRPr="001C4382">
        <w:rPr>
          <w:rFonts w:hint="cs"/>
          <w:sz w:val="28"/>
          <w:szCs w:val="28"/>
          <w:rtl/>
        </w:rPr>
        <w:t>1818م</w:t>
      </w:r>
      <w:r w:rsidR="0025158C">
        <w:rPr>
          <w:rFonts w:hint="cs"/>
          <w:rtl/>
        </w:rPr>
        <w:t>، و</w:t>
      </w:r>
      <w:r>
        <w:rPr>
          <w:rFonts w:hint="cs"/>
          <w:rtl/>
        </w:rPr>
        <w:t xml:space="preserve">وادي سوف </w:t>
      </w:r>
      <w:r w:rsidRPr="001C4382">
        <w:rPr>
          <w:rFonts w:hint="cs"/>
          <w:sz w:val="28"/>
          <w:szCs w:val="28"/>
          <w:rtl/>
        </w:rPr>
        <w:t>1824م</w:t>
      </w:r>
      <w:r w:rsidR="0025158C">
        <w:rPr>
          <w:rFonts w:hint="cs"/>
          <w:rtl/>
        </w:rPr>
        <w:t>، و الثّورة التّجانيّة و</w:t>
      </w:r>
      <w:r>
        <w:rPr>
          <w:rFonts w:hint="cs"/>
          <w:rtl/>
        </w:rPr>
        <w:t xml:space="preserve">عين ماضي </w:t>
      </w:r>
      <w:r w:rsidRPr="001C4382">
        <w:rPr>
          <w:rFonts w:hint="cs"/>
          <w:sz w:val="28"/>
          <w:szCs w:val="28"/>
          <w:rtl/>
        </w:rPr>
        <w:t>1818م</w:t>
      </w:r>
      <w:r w:rsidR="0025158C">
        <w:rPr>
          <w:rFonts w:hint="cs"/>
          <w:rtl/>
        </w:rPr>
        <w:t>، و</w:t>
      </w:r>
      <w:r>
        <w:rPr>
          <w:rFonts w:hint="cs"/>
          <w:rtl/>
        </w:rPr>
        <w:t xml:space="preserve">كانت أخطرها الّتي قام بها الطّرقيّون في مطلع القرن </w:t>
      </w:r>
      <w:r w:rsidRPr="001C4382">
        <w:rPr>
          <w:rFonts w:hint="cs"/>
          <w:sz w:val="28"/>
          <w:szCs w:val="28"/>
          <w:rtl/>
        </w:rPr>
        <w:t>19م</w:t>
      </w:r>
      <w:r w:rsidR="00CA494D">
        <w:rPr>
          <w:rFonts w:hint="cs"/>
          <w:sz w:val="28"/>
          <w:szCs w:val="28"/>
          <w:rtl/>
        </w:rPr>
        <w:t xml:space="preserve">.                                                                              </w:t>
      </w:r>
    </w:p>
    <w:p w:rsidR="00AC75DB" w:rsidRPr="00AC75DB" w:rsidRDefault="00AC75DB" w:rsidP="007A091E">
      <w:pPr>
        <w:spacing w:line="240" w:lineRule="auto"/>
        <w:jc w:val="both"/>
        <w:rPr>
          <w:b/>
          <w:bCs/>
          <w:rtl/>
        </w:rPr>
      </w:pPr>
      <w:r w:rsidRPr="00AC75DB">
        <w:rPr>
          <w:rFonts w:hint="cs"/>
          <w:b/>
          <w:bCs/>
          <w:rtl/>
        </w:rPr>
        <w:t>ثورة الطّرقيّين:</w:t>
      </w:r>
    </w:p>
    <w:p w:rsidR="00FF2666" w:rsidRPr="00FF2666" w:rsidRDefault="00FF2666" w:rsidP="007A091E">
      <w:pPr>
        <w:spacing w:line="240" w:lineRule="auto"/>
        <w:jc w:val="both"/>
        <w:rPr>
          <w:b/>
          <w:bCs/>
          <w:rtl/>
        </w:rPr>
      </w:pPr>
      <w:r w:rsidRPr="00FF2666">
        <w:rPr>
          <w:rFonts w:hint="cs"/>
          <w:b/>
          <w:bCs/>
          <w:rtl/>
        </w:rPr>
        <w:t>أسبابها:</w:t>
      </w:r>
    </w:p>
    <w:p w:rsidR="00FF2666" w:rsidRDefault="00FF2666" w:rsidP="0025158C">
      <w:pPr>
        <w:spacing w:line="240" w:lineRule="auto"/>
        <w:jc w:val="both"/>
        <w:rPr>
          <w:rtl/>
        </w:rPr>
      </w:pPr>
      <w:r>
        <w:rPr>
          <w:rFonts w:hint="cs"/>
          <w:rtl/>
        </w:rPr>
        <w:t>لمعرفة الأسباب الحقيقيّة الّتي دفعت بالطّرقيين إلى قيادة تلك الثّورات، يجب استعراض تلك المراحل الّتي مرّت بها السّياسة الدّينيّة للأتراك، فقد كانت علاقات الحكّام بالطرقيين ودي</w:t>
      </w:r>
      <w:r w:rsidR="0025158C">
        <w:rPr>
          <w:rFonts w:hint="cs"/>
          <w:rtl/>
        </w:rPr>
        <w:t>ة بمجملها منذ عهد خير الدّين، و</w:t>
      </w:r>
      <w:r>
        <w:rPr>
          <w:rFonts w:hint="cs"/>
          <w:rtl/>
        </w:rPr>
        <w:t>يرجع سبب هذا التّقارب الواقع بين الطّرفين إلى عاملين هما</w:t>
      </w:r>
      <w:r w:rsidR="0025158C">
        <w:rPr>
          <w:rFonts w:hint="cs"/>
          <w:rtl/>
        </w:rPr>
        <w:t xml:space="preserve"> العقيدة المشتركة ( الإسلام)، و</w:t>
      </w:r>
      <w:r>
        <w:rPr>
          <w:rFonts w:hint="cs"/>
          <w:rtl/>
        </w:rPr>
        <w:t>الخطر الخارجي الّذي كان يهدد الجزائري بداية ال</w:t>
      </w:r>
      <w:r w:rsidR="0025158C">
        <w:rPr>
          <w:rFonts w:hint="cs"/>
          <w:rtl/>
        </w:rPr>
        <w:t>عهد العثماني على وجه الخصوص، و</w:t>
      </w:r>
      <w:r>
        <w:rPr>
          <w:rFonts w:hint="cs"/>
          <w:rtl/>
        </w:rPr>
        <w:t>كان الطّرقي</w:t>
      </w:r>
      <w:r w:rsidR="00AC75DB">
        <w:rPr>
          <w:rFonts w:hint="cs"/>
          <w:rtl/>
        </w:rPr>
        <w:t>ون في العهود الأولى يتمتّعون بالاحترام و التّقدير من السّلطة الحاكمة، كما كانوا يتمتّعون بم</w:t>
      </w:r>
      <w:r w:rsidR="0025158C">
        <w:rPr>
          <w:rFonts w:hint="cs"/>
          <w:rtl/>
        </w:rPr>
        <w:t>كانة مرموقة في أوساط المجتمع، و</w:t>
      </w:r>
      <w:r w:rsidR="00AC75DB">
        <w:rPr>
          <w:rFonts w:hint="cs"/>
          <w:rtl/>
        </w:rPr>
        <w:t xml:space="preserve">هو ما جعلهم يلعبون دور الوسيط بين العثمانيين ( بوصفهم حماة الإسلام)، وبين القبائل شبه المستقلة المتواجدة بالمناطق الصّحراوية و الجبال، و مع نهاية القرن </w:t>
      </w:r>
      <w:r w:rsidR="00AC75DB" w:rsidRPr="001C4382">
        <w:rPr>
          <w:rFonts w:hint="cs"/>
          <w:sz w:val="28"/>
          <w:szCs w:val="28"/>
          <w:rtl/>
        </w:rPr>
        <w:t>18م</w:t>
      </w:r>
      <w:r w:rsidR="00AC75DB">
        <w:rPr>
          <w:rFonts w:hint="cs"/>
          <w:rtl/>
        </w:rPr>
        <w:t xml:space="preserve"> و بداية القرن </w:t>
      </w:r>
      <w:r w:rsidR="00AC75DB" w:rsidRPr="001C4382">
        <w:rPr>
          <w:rFonts w:hint="cs"/>
          <w:sz w:val="28"/>
          <w:szCs w:val="28"/>
          <w:rtl/>
        </w:rPr>
        <w:t>19م</w:t>
      </w:r>
      <w:r w:rsidR="00AC75DB">
        <w:rPr>
          <w:rFonts w:hint="cs"/>
          <w:rtl/>
        </w:rPr>
        <w:t xml:space="preserve"> بدأت العلاقات بين الطّرفين تتأزّم وصولا إلى القطيعة في بداية القرن </w:t>
      </w:r>
      <w:r w:rsidR="00AC75DB" w:rsidRPr="001C4382">
        <w:rPr>
          <w:rFonts w:hint="cs"/>
          <w:sz w:val="28"/>
          <w:szCs w:val="28"/>
          <w:rtl/>
        </w:rPr>
        <w:t>19م</w:t>
      </w:r>
      <w:r w:rsidR="00AC75DB">
        <w:rPr>
          <w:rFonts w:hint="cs"/>
          <w:rtl/>
        </w:rPr>
        <w:t>، و يرجع (</w:t>
      </w:r>
      <w:r w:rsidR="00AC75DB" w:rsidRPr="00AC75DB">
        <w:rPr>
          <w:sz w:val="24"/>
          <w:szCs w:val="24"/>
          <w:lang w:val="fr-FR"/>
        </w:rPr>
        <w:t>P. Boyer</w:t>
      </w:r>
      <w:r w:rsidR="00AC75DB">
        <w:rPr>
          <w:rFonts w:hint="cs"/>
          <w:rtl/>
        </w:rPr>
        <w:t xml:space="preserve">) سبب القطيعة إلى زوال الخطر الخارجي بعد استرجاع مدينة وهران من الإسبان </w:t>
      </w:r>
      <w:r w:rsidR="0025158C">
        <w:rPr>
          <w:rFonts w:hint="cs"/>
          <w:rtl/>
        </w:rPr>
        <w:t xml:space="preserve">سنة </w:t>
      </w:r>
      <w:r w:rsidR="00AC75DB" w:rsidRPr="001C4382">
        <w:rPr>
          <w:rFonts w:hint="cs"/>
          <w:sz w:val="28"/>
          <w:szCs w:val="28"/>
          <w:rtl/>
        </w:rPr>
        <w:t>1792م</w:t>
      </w:r>
      <w:r w:rsidR="00AC75DB">
        <w:rPr>
          <w:rFonts w:hint="cs"/>
          <w:rtl/>
        </w:rPr>
        <w:t xml:space="preserve">، و هكذا فقد العثمانيون حلفاء لهم وزن كبير و دور هامّ في أوساط الأهالي، فبعد أن كان الطّرقيّون </w:t>
      </w:r>
      <w:r w:rsidR="00AC75DB">
        <w:rPr>
          <w:rFonts w:hint="cs"/>
          <w:rtl/>
        </w:rPr>
        <w:lastRenderedPageBreak/>
        <w:t xml:space="preserve">يحدثون التّقارب بين الأهالي و السّلطة، أصبحوا منذ بداية القرن </w:t>
      </w:r>
      <w:r w:rsidR="00AC75DB" w:rsidRPr="001C4382">
        <w:rPr>
          <w:rFonts w:hint="cs"/>
          <w:sz w:val="28"/>
          <w:szCs w:val="28"/>
          <w:rtl/>
        </w:rPr>
        <w:t>19م</w:t>
      </w:r>
      <w:r w:rsidR="00AC75DB">
        <w:rPr>
          <w:rFonts w:hint="cs"/>
          <w:rtl/>
        </w:rPr>
        <w:t xml:space="preserve"> يدافعون </w:t>
      </w:r>
      <w:r w:rsidR="0025158C">
        <w:rPr>
          <w:rFonts w:hint="cs"/>
          <w:rtl/>
        </w:rPr>
        <w:t xml:space="preserve">عن الأهالي خاصّة في الأرياف، ولم </w:t>
      </w:r>
      <w:r w:rsidR="00AC75DB">
        <w:rPr>
          <w:rFonts w:hint="cs"/>
          <w:rtl/>
        </w:rPr>
        <w:t>يتوقف تأثيرهم عند هذا الحدّ بل كانوا يقودون الانتفاضات بأنفسهم.</w:t>
      </w:r>
    </w:p>
    <w:p w:rsidR="00AC75DB" w:rsidRPr="00AC75DB" w:rsidRDefault="00AC75DB" w:rsidP="007A091E">
      <w:pPr>
        <w:spacing w:line="240" w:lineRule="auto"/>
        <w:jc w:val="both"/>
        <w:rPr>
          <w:b/>
          <w:bCs/>
          <w:rtl/>
        </w:rPr>
      </w:pPr>
      <w:r w:rsidRPr="00AC75DB">
        <w:rPr>
          <w:rFonts w:hint="cs"/>
          <w:b/>
          <w:bCs/>
          <w:rtl/>
        </w:rPr>
        <w:t>ثورة ابن الأحرش:</w:t>
      </w:r>
    </w:p>
    <w:p w:rsidR="00AC75DB" w:rsidRDefault="00AC75DB" w:rsidP="007A091E">
      <w:pPr>
        <w:spacing w:line="240" w:lineRule="auto"/>
        <w:jc w:val="both"/>
        <w:rPr>
          <w:rtl/>
        </w:rPr>
      </w:pPr>
      <w:r>
        <w:rPr>
          <w:rFonts w:hint="cs"/>
          <w:rtl/>
        </w:rPr>
        <w:t>اسمه الكامل محمّد بن عبد الله السترين، و يعرف لدى العامة بابن الأحرش أو البودالي نسبة إلى الأبدال الصالحين، أمّا عن أصله فقد أجمعت معظم المصادر على أنّه من المغرب الأقصى، إذ وصفه الزّياني صاحب كتاب "دليل الحيران و أنيس السهران في أخبار مدينة وهران" بأنّه "فتى مغربي مالكي مذهبا درقاوي طريقة، درعي نسبًا"، و قال محمّد بن الأمير عبد ال</w:t>
      </w:r>
      <w:r w:rsidR="0025158C">
        <w:rPr>
          <w:rFonts w:hint="cs"/>
          <w:rtl/>
        </w:rPr>
        <w:t>قادر: "من عرب المغرب الأقصى"، و</w:t>
      </w:r>
      <w:r>
        <w:rPr>
          <w:rFonts w:hint="cs"/>
          <w:rtl/>
        </w:rPr>
        <w:t xml:space="preserve">قد ظهر علي ساحة الأحداث عام </w:t>
      </w:r>
      <w:r w:rsidRPr="001C4382">
        <w:rPr>
          <w:rFonts w:hint="cs"/>
          <w:sz w:val="28"/>
          <w:szCs w:val="28"/>
          <w:rtl/>
        </w:rPr>
        <w:t>1800م</w:t>
      </w:r>
      <w:r>
        <w:rPr>
          <w:rFonts w:hint="cs"/>
          <w:rtl/>
        </w:rPr>
        <w:t xml:space="preserve">، اختير كمقدم لقيادة الحجاج و أدّى فريضة الحج مع المغاربة، و عاد و توقف بمصر حيث صادفته حملة نابوليون على مصر عام </w:t>
      </w:r>
      <w:r w:rsidRPr="001C4382">
        <w:rPr>
          <w:rFonts w:hint="cs"/>
          <w:sz w:val="28"/>
          <w:szCs w:val="28"/>
          <w:rtl/>
        </w:rPr>
        <w:t>1798م</w:t>
      </w:r>
      <w:r>
        <w:rPr>
          <w:rFonts w:hint="cs"/>
          <w:rtl/>
        </w:rPr>
        <w:t>، و قيل أنّه جمع المغاربة و شكّل منهم جيشا و وقف إلى جانب المصريين لمحاربة نابليون، و قد أظهر شجاعة كبيرة مما جعله يكتسب شهرة وصيت</w:t>
      </w:r>
      <w:r w:rsidR="006800C2">
        <w:rPr>
          <w:rFonts w:hint="cs"/>
          <w:rtl/>
        </w:rPr>
        <w:t>ا، ثمّ عاد إلى المغرب و توقّف في تونس حيث رحّب به حاكم تونس حمودة باشا.</w:t>
      </w:r>
    </w:p>
    <w:p w:rsidR="006800C2" w:rsidRPr="006800C2" w:rsidRDefault="006800C2" w:rsidP="007A091E">
      <w:pPr>
        <w:spacing w:line="240" w:lineRule="auto"/>
        <w:jc w:val="both"/>
        <w:rPr>
          <w:b/>
          <w:bCs/>
          <w:rtl/>
        </w:rPr>
      </w:pPr>
      <w:r w:rsidRPr="006800C2">
        <w:rPr>
          <w:rFonts w:hint="cs"/>
          <w:b/>
          <w:bCs/>
          <w:rtl/>
        </w:rPr>
        <w:t>أسباب الثّورة:</w:t>
      </w:r>
    </w:p>
    <w:p w:rsidR="006800C2" w:rsidRDefault="006800C2" w:rsidP="007A091E">
      <w:pPr>
        <w:spacing w:line="240" w:lineRule="auto"/>
        <w:jc w:val="both"/>
        <w:rPr>
          <w:rtl/>
        </w:rPr>
      </w:pPr>
      <w:r>
        <w:rPr>
          <w:rFonts w:hint="cs"/>
          <w:rtl/>
        </w:rPr>
        <w:t>1.</w:t>
      </w:r>
      <w:r w:rsidRPr="00215BE7">
        <w:rPr>
          <w:rFonts w:hint="cs"/>
          <w:b/>
          <w:bCs/>
          <w:rtl/>
        </w:rPr>
        <w:t>الداخلية</w:t>
      </w:r>
      <w:r>
        <w:rPr>
          <w:rFonts w:hint="cs"/>
          <w:rtl/>
        </w:rPr>
        <w:t>: لقد ذكر ابن الأحرش بعض الأسباب التي أدّت إلى إعلان الثّورة ضدّ باي قسنطينة، و ذلك عندما كان ينشر دعوته بين قبائل الشّرق الجزائري، إذ قال لهم: "أنّه الإمام المهدي المنتظر فنصره السكان و عقدوا له البيعة، كما زعم أنّه صاحب الوقت و أنّ دعوته مستجابة و النصر يتبعه حيثما توجّه، و بارود عدوّه لا يضره و يصيب أتباعه، بل يرجع لديهم ماء، و قد ترجع أسباب نجاح ابن الأحرش إلى استقطاب الناس إلى دعوته، إلى استعداد الريفيين إلى القيام بالثورة ضدّ السلطة الحاكمة التي أثقلت كاهلها بالضرائب و يرجع عدم تحركه من قبل إلى عدم وجود قائد يوحد صفوفه و الدليل على ذلك أنّه بمجرد ظهور ابن الأحرش تمسكوا به و التفوا حوله و قد ذكرنا أنّ الريفيين كانوا يطيعون من كان يتبع طريقة سلفهم لهذا أليس من الغريب أن نجد الريف</w:t>
      </w:r>
      <w:r w:rsidR="0025158C">
        <w:rPr>
          <w:rFonts w:hint="cs"/>
          <w:rtl/>
        </w:rPr>
        <w:t>ين يستجيبون لدعوة ابن الأحرش، و</w:t>
      </w:r>
      <w:r>
        <w:rPr>
          <w:rFonts w:hint="cs"/>
          <w:rtl/>
        </w:rPr>
        <w:t xml:space="preserve">يذكر أنّ هذا الأخير قد خاطب أتباعه في إحدى الصّلوات بقوله: "حان الوقت </w:t>
      </w:r>
      <w:r>
        <w:rPr>
          <w:rFonts w:hint="cs"/>
          <w:rtl/>
        </w:rPr>
        <w:lastRenderedPageBreak/>
        <w:t>الّذي سيخلصكم الله من الأتراك المستبدين و أنّ ابن الأحرش صاحب الوقت يحرركم منهم قوموا كلكم لأن الل</w:t>
      </w:r>
      <w:r w:rsidR="0025158C">
        <w:rPr>
          <w:rFonts w:hint="cs"/>
          <w:rtl/>
        </w:rPr>
        <w:t>ه سيسلم مدينة عنابة و قسنطينة و</w:t>
      </w:r>
      <w:r>
        <w:rPr>
          <w:rFonts w:hint="cs"/>
          <w:rtl/>
        </w:rPr>
        <w:t>حتى الجزائر".</w:t>
      </w:r>
    </w:p>
    <w:p w:rsidR="006800C2" w:rsidRDefault="006800C2" w:rsidP="007A091E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توحي هذه الأسباب </w:t>
      </w:r>
      <w:r w:rsidR="00215BE7">
        <w:rPr>
          <w:rFonts w:hint="cs"/>
          <w:rtl/>
        </w:rPr>
        <w:t>التي ذكرناها أنّ الثّورة الّتي قام بها ابن الأحرش كانت نابعة من الواقع الجزائري، و كان هدفها الرّئيسي هو تغيير الأوضاع السّائدة في البلاد، و القضاء على سلطة البايلك، إلاّ أنّ البعض يرى أنّ هناك تأثيرات خارجية دفعت ابن الأحرش إلى القيام بالثّورة.</w:t>
      </w:r>
    </w:p>
    <w:p w:rsidR="00215BE7" w:rsidRDefault="00215BE7" w:rsidP="007A091E">
      <w:pPr>
        <w:spacing w:line="240" w:lineRule="auto"/>
        <w:jc w:val="both"/>
        <w:rPr>
          <w:rtl/>
        </w:rPr>
      </w:pPr>
      <w:r>
        <w:rPr>
          <w:rFonts w:hint="cs"/>
          <w:rtl/>
        </w:rPr>
        <w:t>2.الخارجيّة: تذكر بعض المصادر منها أحمد الشريف الزهار في مذكراته أنّ حمودة باي تونس قام بتحريض ابن الأحرش ضدّ حكام الجزائر، حي ورد ما نصّه: " إنّ حمودة باشا استد</w:t>
      </w:r>
      <w:r w:rsidR="0025158C">
        <w:rPr>
          <w:rFonts w:hint="cs"/>
          <w:rtl/>
        </w:rPr>
        <w:t>عى في إحدى الأيّام ابن الأحرش و</w:t>
      </w:r>
      <w:r>
        <w:rPr>
          <w:rFonts w:hint="cs"/>
          <w:rtl/>
        </w:rPr>
        <w:t xml:space="preserve">وسوس له قائلا </w:t>
      </w:r>
      <w:r w:rsidR="0025158C">
        <w:rPr>
          <w:rFonts w:hint="cs"/>
          <w:rtl/>
        </w:rPr>
        <w:t>"</w:t>
      </w:r>
      <w:r w:rsidRPr="0025158C">
        <w:rPr>
          <w:rFonts w:hint="cs"/>
          <w:b/>
          <w:bCs/>
          <w:rtl/>
        </w:rPr>
        <w:t>إنّ رجلا مثلك شجاع ... عليه أ</w:t>
      </w:r>
      <w:r w:rsidR="0025158C" w:rsidRPr="0025158C">
        <w:rPr>
          <w:rFonts w:hint="cs"/>
          <w:b/>
          <w:bCs/>
          <w:rtl/>
        </w:rPr>
        <w:t>ن يذهب إلى ملك الترك بالجزائر و</w:t>
      </w:r>
      <w:r w:rsidRPr="0025158C">
        <w:rPr>
          <w:rFonts w:hint="cs"/>
          <w:b/>
          <w:bCs/>
          <w:rtl/>
        </w:rPr>
        <w:t>ينزعه من أيديهم، و نحن نمدك بما يخصك و العرب يتبعونك بكثرة</w:t>
      </w:r>
      <w:r>
        <w:rPr>
          <w:rFonts w:hint="cs"/>
          <w:rtl/>
        </w:rPr>
        <w:t xml:space="preserve"> </w:t>
      </w:r>
      <w:r w:rsidRPr="0025158C">
        <w:rPr>
          <w:rFonts w:hint="cs"/>
          <w:b/>
          <w:bCs/>
          <w:rtl/>
        </w:rPr>
        <w:t>ما ظلمهم الأتراك</w:t>
      </w:r>
      <w:r w:rsidR="0025158C">
        <w:rPr>
          <w:rFonts w:hint="cs"/>
          <w:rtl/>
        </w:rPr>
        <w:t>"، و</w:t>
      </w:r>
      <w:r>
        <w:rPr>
          <w:rFonts w:hint="cs"/>
          <w:rtl/>
        </w:rPr>
        <w:t>كان مقصد حمو</w:t>
      </w:r>
      <w:r w:rsidR="0025158C">
        <w:rPr>
          <w:rFonts w:hint="cs"/>
          <w:rtl/>
        </w:rPr>
        <w:t>دة باشا أن يشغلهم عنه لا غير، و</w:t>
      </w:r>
      <w:r>
        <w:rPr>
          <w:rFonts w:hint="cs"/>
          <w:rtl/>
        </w:rPr>
        <w:t>أما اخذ الملك من الأتراك فما كان يظنه واقعا، ثمّ أن ابن الأحرش اتسع في عقله مثل هذا الكلام و تعلق به قلبه فوافق على ذلك".</w:t>
      </w:r>
    </w:p>
    <w:p w:rsidR="00215BE7" w:rsidRDefault="00207F5D" w:rsidP="007A091E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و هناك من ذهب إلى أبعد من ذلك إذ قال أنّ ابن الأحرش تعرف على بعض قادة </w:t>
      </w:r>
      <w:r w:rsidR="008135D6">
        <w:rPr>
          <w:rFonts w:hint="cs"/>
          <w:rtl/>
        </w:rPr>
        <w:t>الإنجليز في مصر، و</w:t>
      </w:r>
      <w:r>
        <w:rPr>
          <w:rFonts w:hint="cs"/>
          <w:rtl/>
        </w:rPr>
        <w:t>هم الّذين حرّضوه على الثّورة في الجزائر، و كان هدف الإنجليز هو ضرب المصالح الفرنسية، علما أنّ إنجلترا كانت تسعى دائما إلى تع</w:t>
      </w:r>
      <w:r w:rsidR="00CC52E1">
        <w:rPr>
          <w:rFonts w:hint="cs"/>
          <w:rtl/>
        </w:rPr>
        <w:t>كير صفو العلاقات بين الجزائر و فرنسا، و رأت في ابن الأحرش الرّجل المناسب الّذي سيتولّى تحقيق مشاريعها و تنفيذ خططها بالجزائر، و مهما كانت الأسباب الّتي أدّت به إلى إعلان الحرب ضدّ العثمانيين، فإنّ هناك سببا هامّا و هو</w:t>
      </w:r>
      <w:r w:rsidR="0025158C">
        <w:rPr>
          <w:rFonts w:hint="cs"/>
          <w:rtl/>
        </w:rPr>
        <w:t xml:space="preserve"> تأثّره بالطّريقة الدّرقاوية، و</w:t>
      </w:r>
      <w:r w:rsidR="00CC52E1">
        <w:rPr>
          <w:rFonts w:hint="cs"/>
          <w:rtl/>
        </w:rPr>
        <w:t>لا شكّ أنّه تقلى تعل</w:t>
      </w:r>
      <w:r w:rsidR="0025158C">
        <w:rPr>
          <w:rFonts w:hint="cs"/>
          <w:rtl/>
        </w:rPr>
        <w:t>يمات من شيوخه بالمغرب الأقصى، و</w:t>
      </w:r>
      <w:r w:rsidR="00CC52E1">
        <w:rPr>
          <w:rFonts w:hint="cs"/>
          <w:rtl/>
        </w:rPr>
        <w:t>لا يستبعد أنّهم حرضوه على الثّورة، و هناك من قال أنّه قد تأثّر بالفكر الوهابي الّذي كان سائدا في الحجاز و الّذي كان مضاد للعثمانيين.</w:t>
      </w:r>
    </w:p>
    <w:p w:rsidR="00CC52E1" w:rsidRDefault="0025158C" w:rsidP="007A091E">
      <w:pPr>
        <w:spacing w:line="240" w:lineRule="auto"/>
        <w:jc w:val="both"/>
        <w:rPr>
          <w:rtl/>
        </w:rPr>
      </w:pPr>
      <w:r>
        <w:rPr>
          <w:rFonts w:hint="cs"/>
          <w:rtl/>
        </w:rPr>
        <w:t>و</w:t>
      </w:r>
      <w:r w:rsidR="00CC52E1">
        <w:rPr>
          <w:rFonts w:hint="cs"/>
          <w:rtl/>
        </w:rPr>
        <w:t>لكون أنّ انجلترا كانت تريد تفريق المصالح بين الجزائر و فرنسا، و من جهة أخرى كانت تريد أن تحلّ محلّ فرنسا بامتيازاتها بالجزائر، يمكن اعتبار أنّ التّحريض الخارجي كان من إنجلترا أكثر من السّلطان التّونسي.</w:t>
      </w:r>
    </w:p>
    <w:p w:rsidR="00CC52E1" w:rsidRPr="00CC52E1" w:rsidRDefault="00CC52E1" w:rsidP="007A091E">
      <w:pPr>
        <w:spacing w:line="240" w:lineRule="auto"/>
        <w:jc w:val="both"/>
        <w:rPr>
          <w:b/>
          <w:bCs/>
          <w:rtl/>
        </w:rPr>
      </w:pPr>
      <w:r w:rsidRPr="00CC52E1">
        <w:rPr>
          <w:rFonts w:hint="cs"/>
          <w:b/>
          <w:bCs/>
          <w:rtl/>
        </w:rPr>
        <w:t>قيام الثّورة:</w:t>
      </w:r>
    </w:p>
    <w:p w:rsidR="00CC52E1" w:rsidRDefault="00CC52E1" w:rsidP="00F97F84">
      <w:pPr>
        <w:spacing w:line="240" w:lineRule="auto"/>
        <w:jc w:val="both"/>
        <w:rPr>
          <w:rtl/>
        </w:rPr>
      </w:pPr>
      <w:r>
        <w:rPr>
          <w:rFonts w:hint="cs"/>
          <w:rtl/>
        </w:rPr>
        <w:lastRenderedPageBreak/>
        <w:t>استقرّ ابن الأحرش بجبال بني درقان بجيجل و أسّس زاوية هناك، و جمع العديد من النّاس، و هناك أعلن ثورته على بايلك قسنطينة الّتي حاصرها، فلم يستسلم أهلها فخرج الباي عثمان و عولج ببني درقان، و في إحدى الحملات اضطرّ الباي عثم</w:t>
      </w:r>
      <w:r w:rsidR="00F97F84">
        <w:rPr>
          <w:rFonts w:hint="cs"/>
          <w:rtl/>
        </w:rPr>
        <w:t>ان إلى البقاء في وادي الزهور، و</w:t>
      </w:r>
      <w:r>
        <w:rPr>
          <w:rFonts w:hint="cs"/>
          <w:rtl/>
        </w:rPr>
        <w:t xml:space="preserve">في تلك اللّيلة تهاطلت أمطار بغزارة و قام ابن الأحرش بتحويل مجرى النّهر إلى السهل فتحول هذا الأخير إلى بركة، </w:t>
      </w:r>
      <w:r w:rsidR="00D13228">
        <w:rPr>
          <w:rFonts w:hint="cs"/>
          <w:rtl/>
        </w:rPr>
        <w:t xml:space="preserve">الشّيء الّذي سهل على ابن الأحرش على قتل الجميع، </w:t>
      </w:r>
      <w:r w:rsidR="00F97F84">
        <w:rPr>
          <w:rFonts w:hint="cs"/>
          <w:rtl/>
        </w:rPr>
        <w:t>ليتم تعين</w:t>
      </w:r>
      <w:r w:rsidR="00D13228">
        <w:rPr>
          <w:rFonts w:hint="cs"/>
          <w:rtl/>
        </w:rPr>
        <w:t xml:space="preserve"> </w:t>
      </w:r>
      <w:r w:rsidR="00F97F84" w:rsidRPr="00F97F84">
        <w:rPr>
          <w:rFonts w:hint="cs"/>
          <w:highlight w:val="yellow"/>
          <w:rtl/>
        </w:rPr>
        <w:t>ابن عثمان</w:t>
      </w:r>
      <w:r w:rsidR="00F97F84">
        <w:rPr>
          <w:rFonts w:hint="cs"/>
          <w:rtl/>
        </w:rPr>
        <w:t xml:space="preserve"> بايا على وهران، و</w:t>
      </w:r>
      <w:r w:rsidR="00D13228">
        <w:rPr>
          <w:rFonts w:hint="cs"/>
          <w:rtl/>
        </w:rPr>
        <w:t xml:space="preserve">جعل </w:t>
      </w:r>
      <w:r w:rsidR="00F97F84">
        <w:rPr>
          <w:rFonts w:hint="cs"/>
          <w:rtl/>
        </w:rPr>
        <w:t>أمور</w:t>
      </w:r>
      <w:r w:rsidR="00D13228">
        <w:rPr>
          <w:rFonts w:hint="cs"/>
          <w:rtl/>
        </w:rPr>
        <w:t xml:space="preserve"> الرعية منسية.</w:t>
      </w:r>
    </w:p>
    <w:p w:rsidR="00D13228" w:rsidRDefault="00D13228" w:rsidP="007A091E">
      <w:pPr>
        <w:spacing w:line="240" w:lineRule="auto"/>
        <w:jc w:val="both"/>
        <w:rPr>
          <w:rtl/>
        </w:rPr>
      </w:pPr>
      <w:r>
        <w:rPr>
          <w:rFonts w:hint="cs"/>
          <w:rtl/>
        </w:rPr>
        <w:t>حاول ابن الأحرش محاصرة بجاية و كان مرابط المدينة ابن بركات انظمّ إليه، ثمّ كانت المعركة الفاصلة بمنطقة الرابطة (</w:t>
      </w:r>
      <w:r w:rsidRPr="001C4382">
        <w:rPr>
          <w:rFonts w:hint="cs"/>
          <w:sz w:val="28"/>
          <w:szCs w:val="28"/>
          <w:rtl/>
        </w:rPr>
        <w:t>1806م</w:t>
      </w:r>
      <w:r>
        <w:rPr>
          <w:rFonts w:hint="cs"/>
          <w:rtl/>
        </w:rPr>
        <w:t>)، هناك من يقول أ</w:t>
      </w:r>
      <w:r w:rsidR="00F97F84">
        <w:rPr>
          <w:rFonts w:hint="cs"/>
          <w:rtl/>
        </w:rPr>
        <w:t>نّ ابن الأحرش قتل في المعركة، و</w:t>
      </w:r>
      <w:r>
        <w:rPr>
          <w:rFonts w:hint="cs"/>
          <w:rtl/>
        </w:rPr>
        <w:t>هناك من يقول أنّه لم يمت، لكنه بعد هزيمته الت</w:t>
      </w:r>
      <w:r w:rsidR="00F97F84">
        <w:rPr>
          <w:rFonts w:hint="cs"/>
          <w:rtl/>
        </w:rPr>
        <w:t>حق بالشريف الدرقاوي بالمعسكر، و</w:t>
      </w:r>
      <w:r>
        <w:rPr>
          <w:rFonts w:hint="cs"/>
          <w:rtl/>
        </w:rPr>
        <w:t>خاض بعض المعارك إلى جانبه، لكن ابن الشريف انقلب على ابن الأحرش، و قتله أن أنّه حدث صراع على الزّعامة.</w:t>
      </w:r>
    </w:p>
    <w:p w:rsidR="00D13228" w:rsidRPr="00D13228" w:rsidRDefault="00D13228" w:rsidP="007A091E">
      <w:pPr>
        <w:spacing w:line="240" w:lineRule="auto"/>
        <w:jc w:val="both"/>
        <w:rPr>
          <w:b/>
          <w:bCs/>
          <w:rtl/>
        </w:rPr>
      </w:pPr>
      <w:r w:rsidRPr="00D13228">
        <w:rPr>
          <w:rFonts w:hint="cs"/>
          <w:b/>
          <w:bCs/>
          <w:rtl/>
        </w:rPr>
        <w:t>أس</w:t>
      </w:r>
      <w:r>
        <w:rPr>
          <w:rFonts w:hint="cs"/>
          <w:b/>
          <w:bCs/>
          <w:rtl/>
        </w:rPr>
        <w:t>باب</w:t>
      </w:r>
      <w:r w:rsidRPr="00D13228">
        <w:rPr>
          <w:rFonts w:hint="cs"/>
          <w:b/>
          <w:bCs/>
          <w:rtl/>
        </w:rPr>
        <w:t xml:space="preserve"> فشل الثورة:</w:t>
      </w:r>
    </w:p>
    <w:p w:rsidR="00D13228" w:rsidRDefault="00D13228" w:rsidP="00D13228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rPr>
          <w:rFonts w:hint="cs"/>
          <w:rtl/>
        </w:rPr>
        <w:t>عدم استعداد ابن الأحرش للثورة و إمكانياته المحدودة.</w:t>
      </w:r>
    </w:p>
    <w:p w:rsidR="00D13228" w:rsidRDefault="00D13228" w:rsidP="00D13228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rPr>
          <w:rFonts w:hint="cs"/>
          <w:rtl/>
        </w:rPr>
        <w:t>سياسة العثمانيين هي سياسة الترهيب و التّرغيب حيث أغرت بالأموال في استجلاب شيوخ القبائل و كذلك استعملت القوّة للتّخلّي عنه.</w:t>
      </w:r>
    </w:p>
    <w:p w:rsidR="00D13228" w:rsidRDefault="00D13228" w:rsidP="00D13228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rPr>
          <w:rFonts w:hint="cs"/>
          <w:rtl/>
        </w:rPr>
        <w:t>زرع ابن الأحرش دعوته في تربة غي</w:t>
      </w:r>
      <w:r w:rsidR="00F97F84">
        <w:rPr>
          <w:rFonts w:hint="cs"/>
          <w:rtl/>
        </w:rPr>
        <w:t>ر مناسبة لها فالدّعوى درقاوية و</w:t>
      </w:r>
      <w:r>
        <w:rPr>
          <w:rFonts w:hint="cs"/>
          <w:rtl/>
        </w:rPr>
        <w:t>البلاد رحمانية.</w:t>
      </w:r>
    </w:p>
    <w:p w:rsidR="00D13228" w:rsidRDefault="00D13228" w:rsidP="00D13228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rPr>
          <w:rFonts w:hint="cs"/>
          <w:rtl/>
        </w:rPr>
        <w:t>عدم الوف</w:t>
      </w:r>
      <w:r w:rsidR="00F97F84">
        <w:rPr>
          <w:rFonts w:hint="cs"/>
          <w:rtl/>
        </w:rPr>
        <w:t>اء بوعود حمودة باي و الإنجليز و</w:t>
      </w:r>
      <w:r>
        <w:rPr>
          <w:rFonts w:hint="cs"/>
          <w:rtl/>
        </w:rPr>
        <w:t>المغرب الأقصى.</w:t>
      </w:r>
    </w:p>
    <w:p w:rsidR="00D13228" w:rsidRDefault="00D13228" w:rsidP="00D13228">
      <w:pPr>
        <w:pStyle w:val="Paragraphedeliste"/>
        <w:numPr>
          <w:ilvl w:val="0"/>
          <w:numId w:val="1"/>
        </w:numPr>
        <w:spacing w:line="240" w:lineRule="auto"/>
        <w:jc w:val="both"/>
        <w:rPr>
          <w:rtl/>
        </w:rPr>
      </w:pPr>
      <w:r>
        <w:rPr>
          <w:rFonts w:hint="cs"/>
          <w:rtl/>
        </w:rPr>
        <w:t>عدم وقوع تلاحكم بين سكان الريف و</w:t>
      </w:r>
      <w:r w:rsidR="00F97F84">
        <w:rPr>
          <w:rFonts w:hint="cs"/>
          <w:rtl/>
        </w:rPr>
        <w:t>سكان المدينة، الأوّلون ضحّوا و</w:t>
      </w:r>
      <w:r>
        <w:rPr>
          <w:rFonts w:hint="cs"/>
          <w:rtl/>
        </w:rPr>
        <w:t>جاهدوا أمّا الضر فلم يقوموا بذلك.</w:t>
      </w:r>
    </w:p>
    <w:p w:rsidR="00E96648" w:rsidRPr="00D13228" w:rsidRDefault="00D13228" w:rsidP="007A091E">
      <w:pPr>
        <w:spacing w:line="240" w:lineRule="auto"/>
        <w:jc w:val="both"/>
        <w:rPr>
          <w:rtl/>
        </w:rPr>
      </w:pPr>
      <w:r w:rsidRPr="00D13228">
        <w:rPr>
          <w:rFonts w:hint="cs"/>
          <w:b/>
          <w:bCs/>
          <w:rtl/>
        </w:rPr>
        <w:t>النتائج:</w:t>
      </w:r>
      <w:r>
        <w:rPr>
          <w:rFonts w:hint="cs"/>
          <w:rtl/>
        </w:rPr>
        <w:t xml:space="preserve"> </w:t>
      </w:r>
      <w:r w:rsidR="00F97F84">
        <w:rPr>
          <w:rFonts w:hint="cs"/>
          <w:rtl/>
        </w:rPr>
        <w:t xml:space="preserve">شملت جوانب متعددة </w:t>
      </w:r>
      <w:r>
        <w:rPr>
          <w:rFonts w:hint="cs"/>
          <w:rtl/>
        </w:rPr>
        <w:t>سياسية، اقتصادية، و اجتماعيّة:</w:t>
      </w:r>
    </w:p>
    <w:p w:rsidR="00D13228" w:rsidRDefault="00D13228" w:rsidP="007A091E">
      <w:pPr>
        <w:spacing w:line="240" w:lineRule="auto"/>
        <w:jc w:val="both"/>
        <w:rPr>
          <w:rtl/>
        </w:rPr>
      </w:pPr>
      <w:r>
        <w:rPr>
          <w:rFonts w:hint="cs"/>
          <w:rtl/>
        </w:rPr>
        <w:t>السياسية: - ضعف سلطة الباي في الأرياف و تقلص وجودهم.</w:t>
      </w:r>
    </w:p>
    <w:p w:rsidR="00D13228" w:rsidRDefault="00C82D8F" w:rsidP="001C4382">
      <w:pPr>
        <w:pStyle w:val="Paragraphedeliste"/>
        <w:numPr>
          <w:ilvl w:val="0"/>
          <w:numId w:val="1"/>
        </w:numPr>
        <w:spacing w:line="192" w:lineRule="auto"/>
        <w:jc w:val="both"/>
        <w:rPr>
          <w:rtl/>
        </w:rPr>
      </w:pPr>
      <w:r>
        <w:rPr>
          <w:rFonts w:hint="cs"/>
          <w:rtl/>
        </w:rPr>
        <w:t>خسائر بشرية و مادية أضرّت بالدّولة العثمانية ( الجزائرية).</w:t>
      </w:r>
    </w:p>
    <w:p w:rsidR="0059375C" w:rsidRDefault="00C82D8F" w:rsidP="001C4382">
      <w:pPr>
        <w:spacing w:line="192" w:lineRule="auto"/>
        <w:jc w:val="both"/>
        <w:rPr>
          <w:rtl/>
        </w:rPr>
      </w:pPr>
      <w:r>
        <w:rPr>
          <w:rFonts w:hint="cs"/>
          <w:rtl/>
        </w:rPr>
        <w:t xml:space="preserve">اقتصادية: - توقفت الفلاحة فليس هناك زراعة بدون </w:t>
      </w:r>
      <w:r w:rsidR="00F97F84">
        <w:rPr>
          <w:rFonts w:hint="cs"/>
          <w:rtl/>
        </w:rPr>
        <w:t>أمن مما أدّى إلى قلة الإنتاج، و</w:t>
      </w:r>
      <w:r>
        <w:rPr>
          <w:rFonts w:hint="cs"/>
          <w:rtl/>
        </w:rPr>
        <w:t>الإنتاج القليل ك</w:t>
      </w:r>
      <w:r w:rsidR="00F97F84">
        <w:rPr>
          <w:rFonts w:hint="cs"/>
          <w:rtl/>
        </w:rPr>
        <w:t>ان يعرض بأسعار باهظة و</w:t>
      </w:r>
      <w:r>
        <w:rPr>
          <w:rFonts w:hint="cs"/>
          <w:rtl/>
        </w:rPr>
        <w:t>قلة الإنتاج أثّر أيضا على نقص اليد العاملة.</w:t>
      </w:r>
    </w:p>
    <w:p w:rsidR="00C82D8F" w:rsidRDefault="00C82D8F" w:rsidP="00F97F84">
      <w:pPr>
        <w:spacing w:line="192" w:lineRule="auto"/>
        <w:jc w:val="both"/>
        <w:rPr>
          <w:rtl/>
        </w:rPr>
      </w:pPr>
      <w:r>
        <w:rPr>
          <w:rFonts w:hint="cs"/>
          <w:rtl/>
        </w:rPr>
        <w:lastRenderedPageBreak/>
        <w:t>و صفوا القول إنّ هذه الثّورات لم تنج في القضاء على الحكم العثماني بالجزائر، إلاّ أنها عجلت بسقوط هذا الحكم خصوصا أنّ هذه التّورات تز</w:t>
      </w:r>
      <w:r w:rsidR="00F97F84">
        <w:rPr>
          <w:rFonts w:hint="cs"/>
          <w:rtl/>
        </w:rPr>
        <w:t>امنت مع ضعف البحرية الجزائرية و</w:t>
      </w:r>
      <w:r>
        <w:rPr>
          <w:rFonts w:hint="cs"/>
          <w:rtl/>
        </w:rPr>
        <w:t xml:space="preserve">ازدياد الأطماع الأوربيّة الجزائر التي تجسد في إرسالها لعدة جواسيس منها الجاسوس بُوتان الّذي أعدّ تقريرا مفصلا عن الوضع في الجزائر سنة </w:t>
      </w:r>
      <w:r w:rsidR="00F97F84">
        <w:rPr>
          <w:rFonts w:hint="cs"/>
          <w:sz w:val="28"/>
          <w:szCs w:val="28"/>
          <w:rtl/>
        </w:rPr>
        <w:t>1809</w:t>
      </w:r>
      <w:r w:rsidRPr="001C4382">
        <w:rPr>
          <w:rFonts w:hint="cs"/>
          <w:sz w:val="28"/>
          <w:szCs w:val="28"/>
          <w:rtl/>
        </w:rPr>
        <w:t>م</w:t>
      </w:r>
      <w:r>
        <w:rPr>
          <w:rFonts w:hint="cs"/>
          <w:rtl/>
        </w:rPr>
        <w:t>.</w:t>
      </w:r>
    </w:p>
    <w:p w:rsidR="00C82D8F" w:rsidRPr="00C82D8F" w:rsidRDefault="00762501" w:rsidP="00134FF8">
      <w:pPr>
        <w:spacing w:line="24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قائمة المصادر و</w:t>
      </w:r>
      <w:r w:rsidR="00C82D8F" w:rsidRPr="00C82D8F">
        <w:rPr>
          <w:rFonts w:hint="cs"/>
          <w:b/>
          <w:bCs/>
          <w:rtl/>
        </w:rPr>
        <w:t>المراجع:</w:t>
      </w:r>
    </w:p>
    <w:p w:rsidR="00C82D8F" w:rsidRDefault="00C82D8F" w:rsidP="00134FF8">
      <w:pPr>
        <w:spacing w:line="240" w:lineRule="auto"/>
        <w:jc w:val="both"/>
        <w:rPr>
          <w:b/>
          <w:bCs/>
          <w:rtl/>
        </w:rPr>
      </w:pPr>
      <w:r w:rsidRPr="00C82D8F">
        <w:rPr>
          <w:rFonts w:hint="cs"/>
          <w:b/>
          <w:bCs/>
          <w:rtl/>
        </w:rPr>
        <w:t xml:space="preserve">المصادر </w:t>
      </w:r>
      <w:r w:rsidR="00762501">
        <w:rPr>
          <w:rFonts w:hint="cs"/>
          <w:b/>
          <w:bCs/>
          <w:rtl/>
          <w:lang w:bidi="ar-DZ"/>
        </w:rPr>
        <w:t xml:space="preserve">والمراجع </w:t>
      </w:r>
      <w:r w:rsidRPr="00C82D8F">
        <w:rPr>
          <w:rFonts w:hint="cs"/>
          <w:b/>
          <w:bCs/>
          <w:rtl/>
        </w:rPr>
        <w:t>بالفرنسية:</w:t>
      </w:r>
    </w:p>
    <w:p w:rsidR="00762501" w:rsidRPr="00B87370" w:rsidRDefault="00762501" w:rsidP="00762501">
      <w:pPr>
        <w:pStyle w:val="Notedebasdepage"/>
        <w:numPr>
          <w:ilvl w:val="0"/>
          <w:numId w:val="24"/>
        </w:numPr>
        <w:jc w:val="both"/>
        <w:rPr>
          <w:rFonts w:ascii="Times New Roman" w:hAnsi="Times New Roman" w:cs="Simplified Arabic"/>
          <w:sz w:val="28"/>
          <w:szCs w:val="32"/>
          <w:lang w:val="fr-FR" w:bidi="ar-DZ"/>
        </w:rPr>
      </w:pPr>
      <w:r w:rsidRPr="00B87370">
        <w:rPr>
          <w:rFonts w:ascii="Times New Roman" w:hAnsi="Times New Roman" w:cs="Simplified Arabic"/>
          <w:sz w:val="28"/>
          <w:szCs w:val="32"/>
          <w:lang w:val="fr-FR"/>
        </w:rPr>
        <w:t xml:space="preserve">Laugier de Tassy, </w:t>
      </w:r>
      <w:r w:rsidRPr="00B87370">
        <w:rPr>
          <w:rFonts w:ascii="Times New Roman" w:hAnsi="Times New Roman" w:cs="Simplified Arabic"/>
          <w:b/>
          <w:bCs/>
          <w:sz w:val="28"/>
          <w:szCs w:val="32"/>
          <w:lang w:val="fr-FR"/>
        </w:rPr>
        <w:t>Histoire du Royaume d’Alger</w:t>
      </w:r>
      <w:r>
        <w:rPr>
          <w:rFonts w:ascii="Times New Roman" w:hAnsi="Times New Roman" w:cs="Simplified Arabic"/>
          <w:b/>
          <w:bCs/>
          <w:sz w:val="28"/>
          <w:szCs w:val="32"/>
          <w:lang w:val="fr-FR"/>
        </w:rPr>
        <w:t xml:space="preserve"> avec </w:t>
      </w:r>
      <w:r w:rsidRPr="00087393">
        <w:rPr>
          <w:rFonts w:ascii="Times New Roman" w:hAnsi="Times New Roman" w:cs="Simplified Arabic"/>
          <w:b/>
          <w:bCs/>
          <w:sz w:val="28"/>
          <w:szCs w:val="32"/>
          <w:lang w:val="fr-FR"/>
        </w:rPr>
        <w:t>l’Etat</w:t>
      </w:r>
      <w:r w:rsidRPr="00BC01F6">
        <w:rPr>
          <w:rFonts w:ascii="Times New Roman" w:hAnsi="Times New Roman" w:cs="Simplified Arabic"/>
          <w:b/>
          <w:bCs/>
          <w:sz w:val="28"/>
          <w:szCs w:val="32"/>
          <w:lang w:val="fr-FR"/>
        </w:rPr>
        <w:t xml:space="preserve"> présent de son gouvernement, de ses forces de Terre et de Mer </w:t>
      </w:r>
      <w:r w:rsidRPr="00B87370">
        <w:rPr>
          <w:rFonts w:ascii="Times New Roman" w:hAnsi="Times New Roman" w:cs="Simplified Arabic"/>
          <w:b/>
          <w:bCs/>
          <w:sz w:val="28"/>
          <w:szCs w:val="32"/>
          <w:lang w:val="fr-FR"/>
        </w:rPr>
        <w:t>,</w:t>
      </w:r>
      <w:r w:rsidRPr="00BC01F6">
        <w:rPr>
          <w:rFonts w:ascii="Times New Roman" w:hAnsi="Times New Roman" w:cs="Simplified Arabic"/>
          <w:b/>
          <w:bCs/>
          <w:sz w:val="28"/>
          <w:szCs w:val="32"/>
          <w:lang w:val="fr-FR"/>
        </w:rPr>
        <w:t xml:space="preserve"> de</w:t>
      </w:r>
      <w:r>
        <w:rPr>
          <w:rFonts w:ascii="Times New Roman" w:hAnsi="Times New Roman" w:cs="Simplified Arabic"/>
          <w:b/>
          <w:bCs/>
          <w:sz w:val="28"/>
          <w:szCs w:val="32"/>
          <w:lang w:val="fr-FR"/>
        </w:rPr>
        <w:t xml:space="preserve"> ses revenus, police, Justice, </w:t>
      </w:r>
      <w:r w:rsidRPr="00087393">
        <w:rPr>
          <w:rFonts w:ascii="Times New Roman" w:hAnsi="Times New Roman" w:cs="Simplified Arabic"/>
          <w:b/>
          <w:bCs/>
          <w:sz w:val="28"/>
          <w:szCs w:val="32"/>
          <w:lang w:val="fr-FR"/>
        </w:rPr>
        <w:t>politique et commerce</w:t>
      </w:r>
      <w:r>
        <w:rPr>
          <w:rFonts w:ascii="Times New Roman" w:hAnsi="Times New Roman" w:cs="Simplified Arabic"/>
          <w:sz w:val="28"/>
          <w:szCs w:val="32"/>
          <w:lang w:val="fr-FR"/>
        </w:rPr>
        <w:t>,</w:t>
      </w:r>
      <w:r w:rsidRPr="00B87370">
        <w:rPr>
          <w:rFonts w:ascii="Times New Roman" w:hAnsi="Times New Roman" w:cs="Simplified Arabic"/>
          <w:sz w:val="28"/>
          <w:szCs w:val="32"/>
          <w:lang w:val="fr-FR"/>
        </w:rPr>
        <w:t xml:space="preserve"> Ed Loysel, Paris, </w:t>
      </w:r>
      <w:r w:rsidRPr="00B87370">
        <w:rPr>
          <w:rFonts w:ascii="Times New Roman" w:hAnsi="Times New Roman"/>
          <w:sz w:val="28"/>
          <w:szCs w:val="28"/>
          <w:lang w:val="fr-FR"/>
        </w:rPr>
        <w:t>1992</w:t>
      </w:r>
    </w:p>
    <w:p w:rsidR="00762501" w:rsidRPr="002D4EB1" w:rsidRDefault="00CA494D" w:rsidP="00CA494D">
      <w:pPr>
        <w:pStyle w:val="Paragraphedeliste"/>
        <w:numPr>
          <w:ilvl w:val="0"/>
          <w:numId w:val="24"/>
        </w:numPr>
        <w:bidi w:val="0"/>
        <w:spacing w:line="240" w:lineRule="auto"/>
        <w:jc w:val="both"/>
        <w:rPr>
          <w:b/>
          <w:bCs/>
          <w:lang w:val="fr-FR"/>
        </w:rPr>
      </w:pPr>
      <w:r w:rsidRPr="00762501">
        <w:rPr>
          <w:rFonts w:ascii="Times New Roman" w:hAnsi="Times New Roman" w:cs="Simplified Arabic"/>
          <w:sz w:val="28"/>
          <w:szCs w:val="32"/>
          <w:lang w:val="fr-FR"/>
        </w:rPr>
        <w:t xml:space="preserve">Jean Michal </w:t>
      </w:r>
      <w:r w:rsidR="00762501" w:rsidRPr="00762501">
        <w:rPr>
          <w:rFonts w:ascii="Times New Roman" w:hAnsi="Times New Roman" w:cs="Simplified Arabic"/>
          <w:sz w:val="28"/>
          <w:szCs w:val="32"/>
          <w:lang w:val="fr-FR"/>
        </w:rPr>
        <w:t>Venture de Paradis</w:t>
      </w:r>
      <w:r w:rsidR="00762501" w:rsidRPr="00762501">
        <w:rPr>
          <w:rFonts w:ascii="Times New Roman" w:hAnsi="Times New Roman" w:cs="Simplified Arabic"/>
          <w:b/>
          <w:bCs/>
          <w:sz w:val="28"/>
          <w:szCs w:val="32"/>
          <w:lang w:val="fr-FR"/>
        </w:rPr>
        <w:t xml:space="preserve">, Tunis et Alger au XVIII siècle, </w:t>
      </w:r>
      <w:r w:rsidR="00762501" w:rsidRPr="00762501">
        <w:rPr>
          <w:rFonts w:ascii="Times New Roman" w:hAnsi="Times New Roman" w:cs="Simplified Arabic"/>
          <w:sz w:val="28"/>
          <w:szCs w:val="32"/>
          <w:lang w:val="fr-FR"/>
        </w:rPr>
        <w:t>Mémoires et observations rassemblées et présentés par Joseph Cuoq, Ed</w:t>
      </w:r>
      <w:r w:rsidR="00762501" w:rsidRPr="00762501">
        <w:rPr>
          <w:rFonts w:ascii="Times New Roman" w:hAnsi="Times New Roman" w:cs="Simplified Arabic" w:hint="cs"/>
          <w:sz w:val="28"/>
          <w:szCs w:val="32"/>
          <w:rtl/>
        </w:rPr>
        <w:t xml:space="preserve"> </w:t>
      </w:r>
      <w:r w:rsidR="00762501" w:rsidRPr="00762501">
        <w:rPr>
          <w:rFonts w:ascii="Times New Roman" w:hAnsi="Times New Roman" w:cs="Simplified Arabic"/>
          <w:sz w:val="28"/>
          <w:szCs w:val="32"/>
          <w:lang w:val="fr-FR"/>
        </w:rPr>
        <w:t xml:space="preserve">Sindbad, Paris, </w:t>
      </w:r>
      <w:r w:rsidR="00762501" w:rsidRPr="00762501">
        <w:rPr>
          <w:rFonts w:ascii="Times New Roman" w:hAnsi="Times New Roman"/>
          <w:sz w:val="28"/>
          <w:szCs w:val="28"/>
          <w:lang w:val="fr-FR"/>
        </w:rPr>
        <w:t>1983</w:t>
      </w:r>
      <w:r w:rsidR="00762501" w:rsidRPr="00762501">
        <w:rPr>
          <w:rFonts w:ascii="Times New Roman" w:hAnsi="Times New Roman" w:cs="Simplified Arabic"/>
          <w:sz w:val="28"/>
          <w:szCs w:val="32"/>
          <w:lang w:val="fr-FR"/>
        </w:rPr>
        <w:t>.</w:t>
      </w:r>
    </w:p>
    <w:p w:rsidR="002D4EB1" w:rsidRPr="002D4EB1" w:rsidRDefault="00CA494D" w:rsidP="00CA494D">
      <w:pPr>
        <w:numPr>
          <w:ilvl w:val="0"/>
          <w:numId w:val="24"/>
        </w:numPr>
        <w:bidi w:val="0"/>
        <w:spacing w:after="0" w:line="240" w:lineRule="auto"/>
        <w:jc w:val="both"/>
        <w:rPr>
          <w:rFonts w:ascii="Times New Roman" w:hAnsi="Times New Roman" w:cs="Simplified Arabic"/>
          <w:sz w:val="28"/>
          <w:szCs w:val="32"/>
          <w:lang w:val="fr-FR"/>
        </w:rPr>
      </w:pPr>
      <w:r w:rsidRPr="002D4EB1">
        <w:rPr>
          <w:rFonts w:ascii="Times New Roman" w:hAnsi="Times New Roman" w:cs="Simplified Arabic"/>
          <w:sz w:val="28"/>
          <w:szCs w:val="32"/>
          <w:lang w:val="fr-FR"/>
        </w:rPr>
        <w:t xml:space="preserve">Pierre </w:t>
      </w:r>
      <w:r w:rsidR="002D4EB1" w:rsidRPr="002D4EB1">
        <w:rPr>
          <w:rFonts w:ascii="Times New Roman" w:hAnsi="Times New Roman" w:cs="Simplified Arabic"/>
          <w:sz w:val="28"/>
          <w:szCs w:val="32"/>
          <w:lang w:val="fr-FR"/>
        </w:rPr>
        <w:t xml:space="preserve">Boyer, </w:t>
      </w:r>
      <w:r w:rsidR="002D4EB1" w:rsidRPr="002D4EB1">
        <w:rPr>
          <w:rFonts w:ascii="Times New Roman" w:hAnsi="Times New Roman" w:cs="Simplified Arabic"/>
          <w:b/>
          <w:bCs/>
          <w:sz w:val="28"/>
          <w:szCs w:val="32"/>
          <w:lang w:val="fr-FR"/>
        </w:rPr>
        <w:t>La vie quotidienne à Alger à la veille de l’intervention française</w:t>
      </w:r>
      <w:r w:rsidR="002D4EB1" w:rsidRPr="002D4EB1">
        <w:rPr>
          <w:rFonts w:ascii="Times New Roman" w:hAnsi="Times New Roman" w:cs="Simplified Arabic"/>
          <w:sz w:val="28"/>
          <w:szCs w:val="32"/>
          <w:lang w:val="fr-FR"/>
        </w:rPr>
        <w:t xml:space="preserve">, Paris, Hachette, </w:t>
      </w:r>
      <w:r w:rsidR="002D4EB1" w:rsidRPr="002D4EB1">
        <w:rPr>
          <w:rFonts w:ascii="Times New Roman" w:hAnsi="Times New Roman" w:cs="Times New Roman"/>
          <w:sz w:val="28"/>
          <w:szCs w:val="28"/>
          <w:lang w:val="fr-FR"/>
        </w:rPr>
        <w:t>1966</w:t>
      </w:r>
      <w:r w:rsidR="002D4EB1" w:rsidRPr="002D4EB1">
        <w:rPr>
          <w:rFonts w:ascii="Times New Roman" w:hAnsi="Times New Roman" w:cs="Simplified Arabic"/>
          <w:sz w:val="28"/>
          <w:szCs w:val="32"/>
          <w:lang w:val="fr-FR"/>
        </w:rPr>
        <w:t>.</w:t>
      </w:r>
    </w:p>
    <w:p w:rsidR="002D4EB1" w:rsidRPr="002D4EB1" w:rsidRDefault="00CA494D" w:rsidP="00CA494D">
      <w:pPr>
        <w:pStyle w:val="Paragraphedeliste"/>
        <w:numPr>
          <w:ilvl w:val="0"/>
          <w:numId w:val="24"/>
        </w:numPr>
        <w:bidi w:val="0"/>
        <w:spacing w:line="240" w:lineRule="auto"/>
        <w:jc w:val="both"/>
        <w:rPr>
          <w:b/>
          <w:bCs/>
          <w:lang w:val="fr-FR"/>
        </w:rPr>
      </w:pPr>
      <w:r w:rsidRPr="002D4EB1">
        <w:rPr>
          <w:rFonts w:ascii="Times New Roman" w:hAnsi="Times New Roman" w:cs="Simplified Arabic"/>
          <w:sz w:val="28"/>
          <w:szCs w:val="32"/>
          <w:lang w:val="fr-FR" w:bidi="ar-DZ"/>
        </w:rPr>
        <w:t xml:space="preserve">Tal </w:t>
      </w:r>
      <w:r w:rsidR="002D4EB1" w:rsidRPr="002D4EB1">
        <w:rPr>
          <w:rFonts w:ascii="Times New Roman" w:hAnsi="Times New Roman" w:cs="Simplified Arabic"/>
          <w:sz w:val="28"/>
          <w:szCs w:val="32"/>
          <w:lang w:val="fr-FR" w:bidi="ar-DZ"/>
        </w:rPr>
        <w:t>Shuval,</w:t>
      </w:r>
      <w:r w:rsidR="002D4EB1" w:rsidRPr="002D4EB1">
        <w:rPr>
          <w:rFonts w:ascii="Times New Roman" w:hAnsi="Times New Roman" w:cs="Simplified Arabic"/>
          <w:sz w:val="28"/>
          <w:szCs w:val="32"/>
          <w:lang w:val="fr-FR"/>
        </w:rPr>
        <w:t xml:space="preserve"> </w:t>
      </w:r>
      <w:r w:rsidR="002D4EB1" w:rsidRPr="002D4EB1">
        <w:rPr>
          <w:rFonts w:ascii="Times New Roman" w:hAnsi="Times New Roman" w:cs="Simplified Arabic"/>
          <w:b/>
          <w:bCs/>
          <w:sz w:val="28"/>
          <w:szCs w:val="32"/>
          <w:lang w:val="fr-FR"/>
        </w:rPr>
        <w:t>La ville d’Alger vers la fin du XVIII</w:t>
      </w:r>
      <w:r w:rsidR="002D4EB1" w:rsidRPr="002D4EB1">
        <w:rPr>
          <w:rFonts w:ascii="Times New Roman" w:hAnsi="Times New Roman" w:cs="Simplified Arabic"/>
          <w:b/>
          <w:bCs/>
          <w:sz w:val="28"/>
          <w:szCs w:val="32"/>
          <w:vertAlign w:val="superscript"/>
          <w:lang w:val="fr-FR"/>
        </w:rPr>
        <w:t>e</w:t>
      </w:r>
      <w:r w:rsidR="002D4EB1" w:rsidRPr="002D4EB1">
        <w:rPr>
          <w:rFonts w:ascii="Times New Roman" w:hAnsi="Times New Roman" w:cs="Simplified Arabic"/>
          <w:b/>
          <w:bCs/>
          <w:sz w:val="28"/>
          <w:szCs w:val="32"/>
          <w:lang w:val="fr-FR"/>
        </w:rPr>
        <w:t xml:space="preserve"> siècle population et cadre urbain</w:t>
      </w:r>
      <w:r w:rsidR="002D4EB1" w:rsidRPr="002D4EB1">
        <w:rPr>
          <w:rFonts w:ascii="Times New Roman" w:hAnsi="Times New Roman" w:cs="Simplified Arabic"/>
          <w:sz w:val="28"/>
          <w:szCs w:val="32"/>
          <w:lang w:val="fr-FR"/>
        </w:rPr>
        <w:t xml:space="preserve">, Paris, CNRS, </w:t>
      </w:r>
      <w:r w:rsidR="002D4EB1" w:rsidRPr="002D4EB1">
        <w:rPr>
          <w:rFonts w:ascii="Times New Roman" w:hAnsi="Times New Roman" w:cs="Times New Roman"/>
          <w:sz w:val="28"/>
          <w:szCs w:val="28"/>
          <w:lang w:val="fr-FR"/>
        </w:rPr>
        <w:t>1998</w:t>
      </w:r>
      <w:r w:rsidR="002D4EB1" w:rsidRPr="002D4EB1">
        <w:rPr>
          <w:rFonts w:ascii="Times New Roman" w:hAnsi="Times New Roman" w:cs="Simplified Arabic"/>
          <w:sz w:val="28"/>
          <w:szCs w:val="32"/>
          <w:lang w:val="fr-FR"/>
        </w:rPr>
        <w:t>.</w:t>
      </w:r>
    </w:p>
    <w:p w:rsidR="002D4EB1" w:rsidRPr="002D4EB1" w:rsidRDefault="002D4EB1" w:rsidP="002D4EB1">
      <w:pPr>
        <w:pStyle w:val="Paragraphedeliste"/>
        <w:numPr>
          <w:ilvl w:val="0"/>
          <w:numId w:val="24"/>
        </w:numPr>
        <w:bidi w:val="0"/>
        <w:spacing w:line="240" w:lineRule="auto"/>
        <w:jc w:val="both"/>
        <w:rPr>
          <w:b/>
          <w:bCs/>
          <w:lang w:val="fr-FR"/>
        </w:rPr>
      </w:pPr>
      <w:r w:rsidRPr="002D4EB1">
        <w:rPr>
          <w:rFonts w:ascii="Times New Roman" w:hAnsi="Times New Roman" w:cs="Simplified Arabic"/>
          <w:sz w:val="28"/>
          <w:szCs w:val="32"/>
          <w:lang w:val="fr-FR"/>
        </w:rPr>
        <w:t xml:space="preserve">Colombe Marcel, </w:t>
      </w:r>
      <w:r w:rsidRPr="002D4EB1">
        <w:rPr>
          <w:rFonts w:ascii="Times New Roman" w:hAnsi="Times New Roman" w:cs="Simplified Arabic"/>
          <w:b/>
          <w:bCs/>
          <w:sz w:val="28"/>
          <w:szCs w:val="32"/>
          <w:lang w:val="fr-FR"/>
        </w:rPr>
        <w:t>« Contribution à l’</w:t>
      </w:r>
      <w:r w:rsidRPr="001B78A1">
        <w:rPr>
          <w:rFonts w:ascii="Times New Roman" w:hAnsi="Times New Roman" w:cs="Simplified Arabic"/>
          <w:b/>
          <w:bCs/>
          <w:sz w:val="28"/>
          <w:szCs w:val="32"/>
          <w:lang w:val="fr-FR"/>
        </w:rPr>
        <w:t>é</w:t>
      </w:r>
      <w:r w:rsidRPr="002D4EB1">
        <w:rPr>
          <w:rFonts w:ascii="Times New Roman" w:hAnsi="Times New Roman" w:cs="Simplified Arabic"/>
          <w:b/>
          <w:bCs/>
          <w:sz w:val="28"/>
          <w:szCs w:val="32"/>
          <w:lang w:val="fr-FR"/>
        </w:rPr>
        <w:t xml:space="preserve">tude du </w:t>
      </w:r>
      <w:r>
        <w:rPr>
          <w:rFonts w:ascii="Times New Roman" w:hAnsi="Times New Roman" w:cs="Simplified Arabic"/>
          <w:b/>
          <w:bCs/>
          <w:sz w:val="28"/>
          <w:szCs w:val="32"/>
          <w:lang w:val="fr-FR"/>
        </w:rPr>
        <w:t>r</w:t>
      </w:r>
      <w:r w:rsidRPr="002D4EB1">
        <w:rPr>
          <w:rFonts w:ascii="Times New Roman" w:hAnsi="Times New Roman" w:cs="Simplified Arabic"/>
          <w:b/>
          <w:bCs/>
          <w:sz w:val="28"/>
          <w:szCs w:val="32"/>
          <w:lang w:val="fr-FR"/>
        </w:rPr>
        <w:t xml:space="preserve">ecrutement de l’Odjak d’Alger dans les dernières années de l’histoire de la </w:t>
      </w:r>
      <w:r w:rsidRPr="001B78A1">
        <w:rPr>
          <w:rFonts w:ascii="Times New Roman" w:hAnsi="Times New Roman" w:cs="Simplified Arabic"/>
          <w:b/>
          <w:bCs/>
          <w:sz w:val="28"/>
          <w:szCs w:val="32"/>
          <w:lang w:val="fr-FR"/>
        </w:rPr>
        <w:t>R</w:t>
      </w:r>
      <w:r w:rsidRPr="002D4EB1">
        <w:rPr>
          <w:rFonts w:ascii="Times New Roman" w:hAnsi="Times New Roman" w:cs="Simplified Arabic"/>
          <w:b/>
          <w:bCs/>
          <w:sz w:val="28"/>
          <w:szCs w:val="32"/>
          <w:lang w:val="fr-FR"/>
        </w:rPr>
        <w:t>égence »</w:t>
      </w:r>
      <w:r w:rsidRPr="002D4EB1">
        <w:rPr>
          <w:rFonts w:ascii="Times New Roman" w:hAnsi="Times New Roman" w:cs="Simplified Arabic"/>
          <w:sz w:val="28"/>
          <w:szCs w:val="32"/>
          <w:lang w:val="fr-FR"/>
        </w:rPr>
        <w:t>, R.A,</w:t>
      </w:r>
      <w:r w:rsidRPr="00216D73">
        <w:rPr>
          <w:rFonts w:ascii="Times New Roman" w:hAnsi="Times New Roman" w:cs="Simplified Arabic"/>
          <w:color w:val="000000"/>
          <w:sz w:val="28"/>
          <w:szCs w:val="32"/>
          <w:lang w:val="fr-FR"/>
        </w:rPr>
        <w:t xml:space="preserve"> </w:t>
      </w:r>
      <w:r>
        <w:rPr>
          <w:rFonts w:ascii="Times New Roman" w:hAnsi="Times New Roman" w:cs="Simplified Arabic"/>
          <w:color w:val="000000"/>
          <w:sz w:val="28"/>
          <w:szCs w:val="32"/>
          <w:lang w:val="fr-FR"/>
        </w:rPr>
        <w:t>n</w:t>
      </w:r>
      <w:r w:rsidRPr="002D4EB1">
        <w:rPr>
          <w:rFonts w:ascii="Times New Roman" w:hAnsi="Times New Roman" w:cs="Simplified Arabic"/>
          <w:color w:val="000000"/>
          <w:sz w:val="28"/>
          <w:szCs w:val="32"/>
          <w:lang w:val="fr-FR"/>
        </w:rPr>
        <w:t>°</w:t>
      </w:r>
      <w:r w:rsidRPr="002D4EB1">
        <w:rPr>
          <w:rFonts w:ascii="Times New Roman" w:hAnsi="Times New Roman" w:cs="Simplified Arabic"/>
          <w:sz w:val="28"/>
          <w:szCs w:val="32"/>
          <w:lang w:val="fr-FR"/>
        </w:rPr>
        <w:t xml:space="preserve"> </w:t>
      </w:r>
      <w:r w:rsidRPr="002D4EB1">
        <w:rPr>
          <w:rFonts w:ascii="Times New Roman" w:hAnsi="Times New Roman"/>
          <w:sz w:val="28"/>
          <w:szCs w:val="28"/>
          <w:lang w:val="fr-FR"/>
        </w:rPr>
        <w:t>87</w:t>
      </w:r>
      <w:r w:rsidRPr="002D4EB1">
        <w:rPr>
          <w:rFonts w:ascii="Times New Roman" w:hAnsi="Times New Roman" w:cs="Simplified Arabic"/>
          <w:sz w:val="28"/>
          <w:szCs w:val="32"/>
          <w:lang w:val="fr-FR"/>
        </w:rPr>
        <w:t xml:space="preserve">, </w:t>
      </w:r>
      <w:r w:rsidRPr="002D4EB1">
        <w:rPr>
          <w:rFonts w:ascii="Times New Roman" w:hAnsi="Times New Roman"/>
          <w:sz w:val="28"/>
          <w:szCs w:val="28"/>
          <w:lang w:val="fr-FR"/>
        </w:rPr>
        <w:t>1943</w:t>
      </w:r>
      <w:r w:rsidRPr="002D4EB1">
        <w:rPr>
          <w:rFonts w:ascii="Times New Roman" w:hAnsi="Times New Roman" w:cs="Simplified Arabic"/>
          <w:sz w:val="28"/>
          <w:szCs w:val="32"/>
          <w:lang w:val="fr-FR"/>
        </w:rPr>
        <w:t>, pp.</w:t>
      </w:r>
      <w:r w:rsidRPr="002D4EB1">
        <w:rPr>
          <w:rFonts w:ascii="Times New Roman" w:hAnsi="Times New Roman"/>
          <w:sz w:val="28"/>
          <w:szCs w:val="28"/>
          <w:lang w:val="fr-FR"/>
        </w:rPr>
        <w:t>166</w:t>
      </w:r>
      <w:r w:rsidRPr="002D4EB1">
        <w:rPr>
          <w:rFonts w:ascii="Times New Roman" w:hAnsi="Times New Roman" w:cs="Simplified Arabic"/>
          <w:sz w:val="28"/>
          <w:szCs w:val="32"/>
          <w:lang w:val="fr-FR"/>
        </w:rPr>
        <w:t>-</w:t>
      </w:r>
      <w:r w:rsidRPr="002D4EB1">
        <w:rPr>
          <w:rFonts w:ascii="Times New Roman" w:hAnsi="Times New Roman"/>
          <w:sz w:val="28"/>
          <w:szCs w:val="28"/>
          <w:lang w:val="fr-FR"/>
        </w:rPr>
        <w:t>18</w:t>
      </w:r>
      <w:r w:rsidRPr="00762E6E">
        <w:rPr>
          <w:rFonts w:ascii="Times New Roman" w:hAnsi="Times New Roman"/>
          <w:sz w:val="28"/>
          <w:szCs w:val="28"/>
          <w:rtl/>
        </w:rPr>
        <w:t>3</w:t>
      </w:r>
      <w:r w:rsidRPr="002D4EB1">
        <w:rPr>
          <w:rFonts w:ascii="Times New Roman" w:hAnsi="Times New Roman"/>
          <w:sz w:val="28"/>
          <w:szCs w:val="28"/>
          <w:lang w:val="fr-FR"/>
        </w:rPr>
        <w:t>.</w:t>
      </w:r>
    </w:p>
    <w:p w:rsidR="002D4EB1" w:rsidRPr="002D4EB1" w:rsidRDefault="00CA494D" w:rsidP="00CA494D">
      <w:pPr>
        <w:pStyle w:val="Paragraphedeliste"/>
        <w:numPr>
          <w:ilvl w:val="0"/>
          <w:numId w:val="24"/>
        </w:numPr>
        <w:bidi w:val="0"/>
        <w:spacing w:line="240" w:lineRule="auto"/>
        <w:jc w:val="both"/>
        <w:rPr>
          <w:b/>
          <w:bCs/>
          <w:lang w:val="fr-FR"/>
        </w:rPr>
      </w:pPr>
      <w:r w:rsidRPr="002D4EB1">
        <w:rPr>
          <w:rFonts w:ascii="Times New Roman" w:hAnsi="Times New Roman"/>
          <w:sz w:val="28"/>
          <w:szCs w:val="28"/>
          <w:lang w:val="fr-FR" w:bidi="ar-DZ"/>
        </w:rPr>
        <w:t>Albert</w:t>
      </w:r>
      <w:r w:rsidRPr="002D4EB1">
        <w:rPr>
          <w:rFonts w:ascii="Times New Roman" w:hAnsi="Times New Roman" w:cs="Simplified Arabic"/>
          <w:sz w:val="28"/>
          <w:szCs w:val="32"/>
          <w:lang w:val="fr-FR" w:bidi="ar-DZ"/>
        </w:rPr>
        <w:t xml:space="preserve"> </w:t>
      </w:r>
      <w:r w:rsidR="002D4EB1" w:rsidRPr="002D4EB1">
        <w:rPr>
          <w:rFonts w:ascii="Times New Roman" w:hAnsi="Times New Roman" w:cs="Simplified Arabic"/>
          <w:sz w:val="28"/>
          <w:szCs w:val="32"/>
          <w:lang w:val="fr-FR" w:bidi="ar-DZ"/>
        </w:rPr>
        <w:t>Devoulx</w:t>
      </w:r>
      <w:r w:rsidR="002D4EB1" w:rsidRPr="00CF67E5">
        <w:rPr>
          <w:rFonts w:ascii="Times New Roman" w:hAnsi="Times New Roman"/>
          <w:sz w:val="28"/>
          <w:szCs w:val="28"/>
          <w:lang w:val="fr-FR" w:bidi="ar-DZ"/>
        </w:rPr>
        <w:t xml:space="preserve">, </w:t>
      </w:r>
      <w:r w:rsidR="002D4EB1" w:rsidRPr="00CF67E5">
        <w:rPr>
          <w:rFonts w:ascii="Times New Roman" w:hAnsi="Times New Roman"/>
          <w:b/>
          <w:bCs/>
          <w:sz w:val="28"/>
          <w:szCs w:val="28"/>
          <w:lang w:val="fr-FR" w:bidi="ar-DZ"/>
        </w:rPr>
        <w:t>« AHD AMAN</w:t>
      </w:r>
      <w:r w:rsidR="002D4EB1" w:rsidRPr="002D4EB1">
        <w:rPr>
          <w:rFonts w:ascii="Times New Roman" w:hAnsi="Times New Roman"/>
          <w:b/>
          <w:bCs/>
          <w:sz w:val="28"/>
          <w:szCs w:val="28"/>
          <w:lang w:val="fr-FR" w:bidi="ar-DZ"/>
        </w:rPr>
        <w:t xml:space="preserve"> ou règlement politique et militaire</w:t>
      </w:r>
      <w:r w:rsidR="002D4EB1" w:rsidRPr="00CF67E5">
        <w:rPr>
          <w:rFonts w:ascii="Times New Roman" w:hAnsi="Times New Roman"/>
          <w:b/>
          <w:bCs/>
          <w:sz w:val="28"/>
          <w:szCs w:val="28"/>
          <w:lang w:val="fr-FR" w:bidi="ar-DZ"/>
        </w:rPr>
        <w:t>»</w:t>
      </w:r>
      <w:r w:rsidR="002D4EB1" w:rsidRPr="002D4EB1">
        <w:rPr>
          <w:rFonts w:ascii="Times New Roman" w:hAnsi="Times New Roman"/>
          <w:sz w:val="28"/>
          <w:szCs w:val="28"/>
          <w:lang w:val="fr-FR" w:bidi="ar-DZ"/>
        </w:rPr>
        <w:t>,</w:t>
      </w:r>
      <w:r w:rsidR="002D4EB1" w:rsidRPr="002D4EB1">
        <w:rPr>
          <w:rFonts w:ascii="Times New Roman" w:hAnsi="Times New Roman"/>
          <w:b/>
          <w:bCs/>
          <w:sz w:val="28"/>
          <w:szCs w:val="28"/>
          <w:lang w:val="fr-FR" w:bidi="ar-DZ"/>
        </w:rPr>
        <w:t xml:space="preserve"> </w:t>
      </w:r>
      <w:r w:rsidR="002D4EB1" w:rsidRPr="002D4EB1">
        <w:rPr>
          <w:rFonts w:ascii="Times New Roman" w:hAnsi="Times New Roman"/>
          <w:sz w:val="28"/>
          <w:szCs w:val="28"/>
          <w:lang w:val="fr-FR" w:bidi="ar-DZ"/>
        </w:rPr>
        <w:t>Texte turc traduit en arabe par Mohammed ben Moustafa, et reproduit en français par M.</w:t>
      </w:r>
      <w:r w:rsidR="002D4EB1">
        <w:rPr>
          <w:rFonts w:ascii="Times New Roman" w:hAnsi="Times New Roman"/>
          <w:sz w:val="28"/>
          <w:szCs w:val="28"/>
          <w:lang w:val="fr-FR" w:bidi="ar-DZ"/>
        </w:rPr>
        <w:t xml:space="preserve"> </w:t>
      </w:r>
      <w:r w:rsidR="002D4EB1" w:rsidRPr="002D4EB1">
        <w:rPr>
          <w:rFonts w:ascii="Times New Roman" w:hAnsi="Times New Roman"/>
          <w:sz w:val="28"/>
          <w:szCs w:val="28"/>
          <w:lang w:val="fr-FR" w:bidi="ar-DZ"/>
        </w:rPr>
        <w:t>Devoulx fils…</w:t>
      </w:r>
      <w:r w:rsidR="002D4EB1" w:rsidRPr="00CF67E5">
        <w:rPr>
          <w:rFonts w:ascii="Times New Roman" w:hAnsi="Times New Roman"/>
          <w:sz w:val="28"/>
          <w:szCs w:val="28"/>
          <w:lang w:val="fr-FR" w:bidi="ar-DZ"/>
        </w:rPr>
        <w:t>,</w:t>
      </w:r>
      <w:r w:rsidR="002D4EB1" w:rsidRPr="002D4EB1">
        <w:rPr>
          <w:rFonts w:ascii="Times New Roman" w:hAnsi="Times New Roman"/>
          <w:sz w:val="28"/>
          <w:szCs w:val="28"/>
          <w:lang w:val="fr-FR"/>
        </w:rPr>
        <w:t xml:space="preserve"> R.A, </w:t>
      </w:r>
      <w:r w:rsidR="002D4EB1">
        <w:rPr>
          <w:rFonts w:ascii="Times New Roman" w:hAnsi="Times New Roman" w:cs="Simplified Arabic"/>
          <w:color w:val="000000"/>
          <w:sz w:val="28"/>
          <w:szCs w:val="32"/>
          <w:lang w:val="fr-FR"/>
        </w:rPr>
        <w:t>n</w:t>
      </w:r>
      <w:r w:rsidR="002D4EB1" w:rsidRPr="002D4EB1">
        <w:rPr>
          <w:rFonts w:ascii="Times New Roman" w:hAnsi="Times New Roman" w:cs="Simplified Arabic"/>
          <w:color w:val="000000"/>
          <w:sz w:val="28"/>
          <w:szCs w:val="32"/>
          <w:lang w:val="fr-FR"/>
        </w:rPr>
        <w:t>°</w:t>
      </w:r>
      <w:r w:rsidR="002D4EB1">
        <w:rPr>
          <w:rFonts w:ascii="Times New Roman" w:hAnsi="Times New Roman" w:cs="Simplified Arabic"/>
          <w:color w:val="000000"/>
          <w:sz w:val="28"/>
          <w:szCs w:val="32"/>
          <w:lang w:val="fr-FR"/>
        </w:rPr>
        <w:t xml:space="preserve"> </w:t>
      </w:r>
      <w:r w:rsidR="002D4EB1" w:rsidRPr="002D4EB1">
        <w:rPr>
          <w:rFonts w:ascii="Times New Roman" w:hAnsi="Times New Roman"/>
          <w:sz w:val="28"/>
          <w:szCs w:val="28"/>
          <w:lang w:val="fr-FR"/>
        </w:rPr>
        <w:t xml:space="preserve">4, 1860 </w:t>
      </w:r>
      <w:r w:rsidR="002D4EB1" w:rsidRPr="00CF67E5">
        <w:rPr>
          <w:rFonts w:ascii="Times New Roman" w:hAnsi="Times New Roman"/>
          <w:sz w:val="28"/>
          <w:szCs w:val="28"/>
          <w:lang w:val="fr-FR"/>
        </w:rPr>
        <w:t>, p</w:t>
      </w:r>
      <w:r w:rsidR="002D4EB1">
        <w:rPr>
          <w:rFonts w:ascii="Times New Roman" w:hAnsi="Times New Roman"/>
          <w:sz w:val="28"/>
          <w:szCs w:val="28"/>
          <w:lang w:val="fr-FR"/>
        </w:rPr>
        <w:t>p.</w:t>
      </w:r>
      <w:r w:rsidR="002D4EB1" w:rsidRPr="00762E6E">
        <w:rPr>
          <w:rFonts w:ascii="Times New Roman" w:hAnsi="Times New Roman"/>
          <w:sz w:val="28"/>
          <w:szCs w:val="28"/>
          <w:lang w:val="fr-FR"/>
        </w:rPr>
        <w:t>111</w:t>
      </w:r>
      <w:r w:rsidR="002D4EB1">
        <w:rPr>
          <w:rFonts w:ascii="Times New Roman" w:hAnsi="Times New Roman"/>
          <w:sz w:val="28"/>
          <w:szCs w:val="28"/>
          <w:lang w:val="fr-FR"/>
        </w:rPr>
        <w:t>-</w:t>
      </w:r>
      <w:r w:rsidR="002D4EB1" w:rsidRPr="00762E6E">
        <w:rPr>
          <w:rFonts w:ascii="Times New Roman" w:hAnsi="Times New Roman"/>
          <w:sz w:val="28"/>
          <w:szCs w:val="28"/>
          <w:lang w:val="fr-FR"/>
        </w:rPr>
        <w:t>219</w:t>
      </w:r>
      <w:r w:rsidR="002D4EB1">
        <w:rPr>
          <w:rFonts w:ascii="Times New Roman" w:hAnsi="Times New Roman"/>
          <w:sz w:val="28"/>
          <w:szCs w:val="28"/>
          <w:lang w:val="fr-FR"/>
        </w:rPr>
        <w:t>.</w:t>
      </w:r>
    </w:p>
    <w:p w:rsidR="002D4EB1" w:rsidRPr="00B87370" w:rsidRDefault="002D4EB1" w:rsidP="002D4EB1">
      <w:pPr>
        <w:pStyle w:val="Notedebasdepage"/>
        <w:numPr>
          <w:ilvl w:val="0"/>
          <w:numId w:val="24"/>
        </w:numPr>
        <w:jc w:val="both"/>
        <w:rPr>
          <w:rFonts w:ascii="Times New Roman" w:hAnsi="Times New Roman" w:cs="Simplified Arabic"/>
          <w:color w:val="000000"/>
          <w:sz w:val="28"/>
          <w:szCs w:val="32"/>
          <w:lang w:val="fr-FR"/>
        </w:rPr>
      </w:pPr>
      <w:r w:rsidRPr="00B87370">
        <w:rPr>
          <w:rFonts w:ascii="Times New Roman" w:hAnsi="Times New Roman" w:cs="Simplified Arabic"/>
          <w:color w:val="000000"/>
          <w:sz w:val="28"/>
          <w:szCs w:val="32"/>
          <w:lang w:val="fr-FR"/>
        </w:rPr>
        <w:t>Albert Devoulx, « </w:t>
      </w:r>
      <w:r w:rsidRPr="00B87370">
        <w:rPr>
          <w:rFonts w:ascii="Times New Roman" w:hAnsi="Times New Roman" w:cs="Simplified Arabic"/>
          <w:b/>
          <w:bCs/>
          <w:color w:val="000000"/>
          <w:sz w:val="28"/>
          <w:szCs w:val="32"/>
          <w:lang w:val="fr-FR"/>
        </w:rPr>
        <w:t xml:space="preserve">Les casernes de Janissaires </w:t>
      </w:r>
      <w:r w:rsidRPr="001B78A1">
        <w:rPr>
          <w:rFonts w:ascii="Times New Roman" w:hAnsi="Times New Roman" w:cs="Simplified Arabic"/>
          <w:b/>
          <w:bCs/>
          <w:color w:val="000000"/>
          <w:sz w:val="28"/>
          <w:szCs w:val="32"/>
          <w:lang w:val="fr-FR"/>
        </w:rPr>
        <w:t xml:space="preserve">à </w:t>
      </w:r>
      <w:r w:rsidRPr="00B87370">
        <w:rPr>
          <w:rFonts w:ascii="Times New Roman" w:hAnsi="Times New Roman" w:cs="Simplified Arabic"/>
          <w:b/>
          <w:bCs/>
          <w:color w:val="000000"/>
          <w:sz w:val="28"/>
          <w:szCs w:val="32"/>
          <w:lang w:val="fr-FR"/>
        </w:rPr>
        <w:t>Alger </w:t>
      </w:r>
      <w:r w:rsidRPr="00B87370">
        <w:rPr>
          <w:rFonts w:ascii="Times New Roman" w:hAnsi="Times New Roman" w:cs="Simplified Arabic"/>
          <w:color w:val="000000"/>
          <w:sz w:val="28"/>
          <w:szCs w:val="32"/>
          <w:lang w:val="fr-FR"/>
        </w:rPr>
        <w:t xml:space="preserve">», R.A, </w:t>
      </w:r>
      <w:r>
        <w:rPr>
          <w:rFonts w:ascii="Times New Roman" w:hAnsi="Times New Roman" w:cs="Simplified Arabic"/>
          <w:color w:val="000000"/>
          <w:sz w:val="28"/>
          <w:szCs w:val="32"/>
          <w:lang w:val="fr-FR"/>
        </w:rPr>
        <w:t>n</w:t>
      </w:r>
      <w:r w:rsidRPr="00B87370">
        <w:rPr>
          <w:rFonts w:ascii="Times New Roman" w:hAnsi="Times New Roman" w:cs="Simplified Arabic"/>
          <w:color w:val="000000"/>
          <w:sz w:val="28"/>
          <w:szCs w:val="32"/>
          <w:lang w:val="fr-FR"/>
        </w:rPr>
        <w:t>°</w:t>
      </w:r>
      <w:r>
        <w:rPr>
          <w:rFonts w:ascii="Times New Roman" w:hAnsi="Times New Roman" w:cs="Simplified Arabic"/>
          <w:color w:val="000000"/>
          <w:sz w:val="28"/>
          <w:szCs w:val="32"/>
          <w:lang w:val="fr-FR"/>
        </w:rPr>
        <w:t xml:space="preserve"> </w:t>
      </w:r>
      <w:r w:rsidRPr="00B87370">
        <w:rPr>
          <w:rFonts w:ascii="Times New Roman" w:hAnsi="Times New Roman"/>
          <w:color w:val="000000"/>
          <w:sz w:val="28"/>
          <w:szCs w:val="28"/>
          <w:lang w:val="fr-FR"/>
        </w:rPr>
        <w:t>3</w:t>
      </w:r>
      <w:r w:rsidRPr="00B87370">
        <w:rPr>
          <w:rFonts w:ascii="Times New Roman" w:hAnsi="Times New Roman" w:cs="Simplified Arabic"/>
          <w:color w:val="000000"/>
          <w:sz w:val="28"/>
          <w:szCs w:val="32"/>
          <w:lang w:val="fr-FR"/>
        </w:rPr>
        <w:t xml:space="preserve">, </w:t>
      </w:r>
      <w:r w:rsidRPr="00B87370">
        <w:rPr>
          <w:rFonts w:ascii="Times New Roman" w:hAnsi="Times New Roman"/>
          <w:color w:val="000000"/>
          <w:sz w:val="28"/>
          <w:szCs w:val="28"/>
          <w:lang w:val="fr-FR"/>
        </w:rPr>
        <w:t>1858</w:t>
      </w:r>
      <w:r w:rsidRPr="00B87370">
        <w:rPr>
          <w:rFonts w:ascii="Times New Roman" w:hAnsi="Times New Roman" w:cs="Simplified Arabic"/>
          <w:color w:val="000000"/>
          <w:sz w:val="28"/>
          <w:szCs w:val="32"/>
          <w:lang w:val="fr-FR"/>
        </w:rPr>
        <w:t>–</w:t>
      </w:r>
      <w:r w:rsidRPr="00B87370">
        <w:rPr>
          <w:rFonts w:ascii="Times New Roman" w:hAnsi="Times New Roman"/>
          <w:color w:val="000000"/>
          <w:sz w:val="28"/>
          <w:szCs w:val="28"/>
          <w:lang w:val="fr-FR"/>
        </w:rPr>
        <w:t>1859</w:t>
      </w:r>
      <w:r w:rsidRPr="00813ABE">
        <w:rPr>
          <w:rFonts w:ascii="Times New Roman" w:hAnsi="Times New Roman"/>
          <w:color w:val="000000"/>
          <w:sz w:val="28"/>
          <w:szCs w:val="28"/>
          <w:lang w:val="fr-FR"/>
        </w:rPr>
        <w:t>.pp.138-150.</w:t>
      </w:r>
    </w:p>
    <w:p w:rsidR="002D4EB1" w:rsidRPr="00B87370" w:rsidRDefault="00B87370" w:rsidP="00B87370">
      <w:pPr>
        <w:pStyle w:val="Notedebasdepage"/>
        <w:numPr>
          <w:ilvl w:val="0"/>
          <w:numId w:val="24"/>
        </w:numPr>
        <w:jc w:val="both"/>
        <w:rPr>
          <w:rFonts w:ascii="Times New Roman" w:hAnsi="Times New Roman" w:cs="Simplified Arabic"/>
          <w:color w:val="000000"/>
          <w:sz w:val="28"/>
          <w:szCs w:val="32"/>
          <w:lang w:val="fr-FR"/>
        </w:rPr>
      </w:pPr>
      <w:r w:rsidRPr="00B87370">
        <w:rPr>
          <w:rFonts w:ascii="Times New Roman" w:hAnsi="Times New Roman" w:cs="Simplified Arabic"/>
          <w:sz w:val="28"/>
          <w:szCs w:val="32"/>
          <w:lang w:val="fr-FR" w:bidi="ar-DZ"/>
        </w:rPr>
        <w:t xml:space="preserve">Albert </w:t>
      </w:r>
      <w:r w:rsidR="002D4EB1" w:rsidRPr="00B87370">
        <w:rPr>
          <w:rFonts w:ascii="Times New Roman" w:hAnsi="Times New Roman" w:cs="Simplified Arabic"/>
          <w:sz w:val="28"/>
          <w:szCs w:val="32"/>
          <w:lang w:val="fr-FR" w:bidi="ar-DZ"/>
        </w:rPr>
        <w:t xml:space="preserve">Devoulx, </w:t>
      </w:r>
      <w:r w:rsidR="002D4EB1" w:rsidRPr="00CA7C3E">
        <w:rPr>
          <w:rFonts w:ascii="Times New Roman" w:hAnsi="Times New Roman" w:cs="Simplified Arabic"/>
          <w:b/>
          <w:bCs/>
          <w:sz w:val="28"/>
          <w:szCs w:val="32"/>
          <w:lang w:val="fr-FR" w:bidi="ar-DZ"/>
        </w:rPr>
        <w:t>« </w:t>
      </w:r>
      <w:r w:rsidR="002D4EB1" w:rsidRPr="00B87370">
        <w:rPr>
          <w:rFonts w:ascii="Times New Roman" w:hAnsi="Times New Roman" w:cs="Simplified Arabic"/>
          <w:b/>
          <w:bCs/>
          <w:sz w:val="28"/>
          <w:szCs w:val="32"/>
          <w:lang w:val="fr-FR" w:bidi="ar-DZ"/>
        </w:rPr>
        <w:t xml:space="preserve">Relevé des principaux </w:t>
      </w:r>
      <w:r w:rsidR="002D4EB1" w:rsidRPr="001B78A1">
        <w:rPr>
          <w:rFonts w:ascii="Times New Roman" w:hAnsi="Times New Roman" w:cs="Simplified Arabic"/>
          <w:b/>
          <w:bCs/>
          <w:sz w:val="28"/>
          <w:szCs w:val="32"/>
          <w:lang w:val="fr-FR" w:bidi="ar-DZ"/>
        </w:rPr>
        <w:t>f</w:t>
      </w:r>
      <w:r w:rsidR="002D4EB1" w:rsidRPr="00B87370">
        <w:rPr>
          <w:rFonts w:ascii="Times New Roman" w:hAnsi="Times New Roman" w:cs="Simplified Arabic"/>
          <w:b/>
          <w:bCs/>
          <w:sz w:val="28"/>
          <w:szCs w:val="32"/>
          <w:lang w:val="fr-FR" w:bidi="ar-DZ"/>
        </w:rPr>
        <w:t xml:space="preserve">rançais qui ont résidé à Alger de </w:t>
      </w:r>
      <w:r w:rsidR="002D4EB1" w:rsidRPr="00B87370">
        <w:rPr>
          <w:rFonts w:ascii="Times New Roman" w:hAnsi="Times New Roman"/>
          <w:b/>
          <w:bCs/>
          <w:sz w:val="28"/>
          <w:szCs w:val="28"/>
          <w:lang w:val="fr-FR" w:bidi="ar-DZ"/>
        </w:rPr>
        <w:t>1686</w:t>
      </w:r>
      <w:r w:rsidR="002D4EB1" w:rsidRPr="00B87370">
        <w:rPr>
          <w:rFonts w:ascii="Times New Roman" w:hAnsi="Times New Roman" w:cs="Simplified Arabic"/>
          <w:b/>
          <w:bCs/>
          <w:sz w:val="28"/>
          <w:szCs w:val="32"/>
          <w:lang w:val="fr-FR" w:bidi="ar-DZ"/>
        </w:rPr>
        <w:t xml:space="preserve"> à </w:t>
      </w:r>
      <w:r w:rsidR="002D4EB1" w:rsidRPr="00B87370">
        <w:rPr>
          <w:rFonts w:ascii="Times New Roman" w:hAnsi="Times New Roman"/>
          <w:b/>
          <w:bCs/>
          <w:sz w:val="28"/>
          <w:szCs w:val="28"/>
          <w:lang w:val="fr-FR" w:bidi="ar-DZ"/>
        </w:rPr>
        <w:t>1830</w:t>
      </w:r>
      <w:r w:rsidR="002D4EB1">
        <w:rPr>
          <w:rFonts w:ascii="Times New Roman" w:hAnsi="Times New Roman"/>
          <w:sz w:val="28"/>
          <w:szCs w:val="28"/>
          <w:lang w:val="fr-FR" w:bidi="ar-DZ"/>
        </w:rPr>
        <w:t> </w:t>
      </w:r>
      <w:r w:rsidR="002D4EB1" w:rsidRPr="00FA6C3C">
        <w:rPr>
          <w:rFonts w:ascii="Times New Roman" w:hAnsi="Times New Roman"/>
          <w:sz w:val="28"/>
          <w:szCs w:val="28"/>
          <w:lang w:val="fr-FR" w:bidi="ar-DZ"/>
        </w:rPr>
        <w:t>»</w:t>
      </w:r>
      <w:r w:rsidR="002D4EB1" w:rsidRPr="00B87370">
        <w:rPr>
          <w:rFonts w:ascii="Times New Roman" w:hAnsi="Times New Roman" w:cs="Simplified Arabic"/>
          <w:sz w:val="28"/>
          <w:szCs w:val="32"/>
          <w:lang w:val="fr-FR" w:bidi="ar-DZ"/>
        </w:rPr>
        <w:t>, R.A,</w:t>
      </w:r>
      <w:r w:rsidR="002D4EB1" w:rsidRPr="00FA6C3C">
        <w:rPr>
          <w:rFonts w:ascii="Times New Roman" w:hAnsi="Times New Roman" w:cs="Simplified Arabic"/>
          <w:sz w:val="28"/>
          <w:szCs w:val="32"/>
          <w:lang w:val="fr-FR" w:bidi="ar-DZ"/>
        </w:rPr>
        <w:t xml:space="preserve"> </w:t>
      </w:r>
      <w:r w:rsidR="002D4EB1">
        <w:rPr>
          <w:rFonts w:ascii="Times New Roman" w:hAnsi="Times New Roman" w:cs="Simplified Arabic"/>
          <w:color w:val="000000"/>
          <w:sz w:val="28"/>
          <w:szCs w:val="32"/>
          <w:lang w:val="fr-FR"/>
        </w:rPr>
        <w:t>n</w:t>
      </w:r>
      <w:r w:rsidR="002D4EB1" w:rsidRPr="00B87370">
        <w:rPr>
          <w:rFonts w:ascii="Times New Roman" w:hAnsi="Times New Roman" w:cs="Simplified Arabic"/>
          <w:color w:val="000000"/>
          <w:sz w:val="28"/>
          <w:szCs w:val="32"/>
          <w:lang w:val="fr-FR"/>
        </w:rPr>
        <w:t>°</w:t>
      </w:r>
      <w:r w:rsidR="002D4EB1">
        <w:rPr>
          <w:rFonts w:ascii="Times New Roman" w:hAnsi="Times New Roman" w:cs="Simplified Arabic"/>
          <w:color w:val="000000"/>
          <w:sz w:val="28"/>
          <w:szCs w:val="32"/>
          <w:lang w:val="fr-FR"/>
        </w:rPr>
        <w:t xml:space="preserve"> </w:t>
      </w:r>
      <w:r w:rsidR="002D4EB1">
        <w:rPr>
          <w:rFonts w:ascii="Times New Roman" w:hAnsi="Times New Roman" w:cs="Simplified Arabic"/>
          <w:sz w:val="28"/>
          <w:szCs w:val="32"/>
          <w:lang w:val="fr-FR" w:bidi="ar-DZ"/>
        </w:rPr>
        <w:t>16</w:t>
      </w:r>
      <w:r w:rsidR="002D4EB1" w:rsidRPr="00FA6C3C">
        <w:rPr>
          <w:rFonts w:ascii="Times New Roman" w:hAnsi="Times New Roman" w:cs="Simplified Arabic"/>
          <w:sz w:val="28"/>
          <w:szCs w:val="32"/>
          <w:lang w:val="fr-FR" w:bidi="ar-DZ"/>
        </w:rPr>
        <w:t>,</w:t>
      </w:r>
      <w:r w:rsidR="002D4EB1" w:rsidRPr="00B87370">
        <w:rPr>
          <w:rFonts w:ascii="Times New Roman" w:hAnsi="Times New Roman" w:cs="Simplified Arabic"/>
          <w:sz w:val="28"/>
          <w:szCs w:val="32"/>
          <w:lang w:val="fr-FR" w:bidi="ar-DZ"/>
        </w:rPr>
        <w:t xml:space="preserve"> </w:t>
      </w:r>
      <w:r w:rsidR="002D4EB1" w:rsidRPr="00B87370">
        <w:rPr>
          <w:rFonts w:ascii="Times New Roman" w:hAnsi="Times New Roman"/>
          <w:sz w:val="28"/>
          <w:szCs w:val="28"/>
          <w:lang w:val="fr-FR" w:bidi="ar-DZ"/>
        </w:rPr>
        <w:t>1872</w:t>
      </w:r>
      <w:r w:rsidR="002D4EB1" w:rsidRPr="00FA6C3C">
        <w:rPr>
          <w:rFonts w:ascii="Times New Roman" w:hAnsi="Times New Roman"/>
          <w:sz w:val="28"/>
          <w:szCs w:val="28"/>
          <w:lang w:val="fr-FR" w:bidi="ar-DZ"/>
        </w:rPr>
        <w:t>, pp</w:t>
      </w:r>
      <w:r w:rsidR="002D4EB1">
        <w:rPr>
          <w:rFonts w:ascii="Times New Roman" w:hAnsi="Times New Roman"/>
          <w:sz w:val="28"/>
          <w:szCs w:val="28"/>
          <w:lang w:val="fr-FR" w:bidi="ar-DZ"/>
        </w:rPr>
        <w:t xml:space="preserve"> 356-420</w:t>
      </w:r>
      <w:r w:rsidR="002D4EB1" w:rsidRPr="00FA6C3C">
        <w:rPr>
          <w:rFonts w:ascii="Times New Roman" w:hAnsi="Times New Roman"/>
          <w:sz w:val="28"/>
          <w:szCs w:val="28"/>
          <w:lang w:val="fr-FR" w:bidi="ar-DZ"/>
        </w:rPr>
        <w:t>.</w:t>
      </w:r>
    </w:p>
    <w:p w:rsidR="002D4EB1" w:rsidRDefault="002D4EB1" w:rsidP="002D4EB1">
      <w:pPr>
        <w:numPr>
          <w:ilvl w:val="0"/>
          <w:numId w:val="2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D4EB1">
        <w:rPr>
          <w:rFonts w:ascii="Times New Roman" w:hAnsi="Times New Roman" w:cs="Times New Roman"/>
          <w:sz w:val="28"/>
          <w:szCs w:val="28"/>
          <w:lang w:val="fr-FR"/>
        </w:rPr>
        <w:t xml:space="preserve">Nahoum Weissmann, </w:t>
      </w:r>
      <w:r w:rsidRPr="002D4EB1">
        <w:rPr>
          <w:rFonts w:ascii="Times New Roman" w:hAnsi="Times New Roman" w:cs="Times New Roman"/>
          <w:b/>
          <w:bCs/>
          <w:sz w:val="28"/>
          <w:szCs w:val="28"/>
          <w:lang w:val="fr-FR"/>
        </w:rPr>
        <w:t>Les Janissaires, étude de l’organisation militaire des ottomanes</w:t>
      </w:r>
      <w:r w:rsidRPr="002D4EB1">
        <w:rPr>
          <w:rFonts w:ascii="Times New Roman" w:hAnsi="Times New Roman" w:cs="Times New Roman"/>
          <w:sz w:val="28"/>
          <w:szCs w:val="28"/>
          <w:lang w:val="fr-FR"/>
        </w:rPr>
        <w:t>, Thèse pour le doctorat d’université présentée a la faculté des lettres de Paris, 1938,</w:t>
      </w:r>
      <w:r w:rsidRPr="00F97CD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D4EB1">
        <w:rPr>
          <w:rFonts w:ascii="Times New Roman" w:hAnsi="Times New Roman" w:cs="Times New Roman"/>
          <w:sz w:val="28"/>
          <w:szCs w:val="28"/>
          <w:lang w:val="fr-FR"/>
        </w:rPr>
        <w:t>Ed Librairie-Orient, Paris, 1964.</w:t>
      </w:r>
    </w:p>
    <w:p w:rsidR="00E36BCE" w:rsidRDefault="00E36BCE" w:rsidP="00E36BCE">
      <w:pPr>
        <w:bidi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  <w:lang w:val="fr-FR"/>
        </w:rPr>
      </w:pPr>
    </w:p>
    <w:p w:rsidR="00E36BCE" w:rsidRDefault="00E36BCE" w:rsidP="00E36BCE">
      <w:pPr>
        <w:bidi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  <w:lang w:val="fr-FR"/>
        </w:rPr>
      </w:pPr>
    </w:p>
    <w:p w:rsidR="00E36BCE" w:rsidRDefault="00E36BCE" w:rsidP="00E36BCE">
      <w:pPr>
        <w:bidi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  <w:lang w:val="fr-FR"/>
        </w:rPr>
      </w:pPr>
    </w:p>
    <w:p w:rsidR="00E36BCE" w:rsidRPr="00CB62ED" w:rsidRDefault="00E36BCE" w:rsidP="00E36BCE">
      <w:pPr>
        <w:bidi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2E42C3" w:rsidRDefault="002E42C3" w:rsidP="002E42C3">
      <w:pPr>
        <w:bidi w:val="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2E42C3" w:rsidRPr="002D4EB1" w:rsidRDefault="002E42C3" w:rsidP="002E42C3">
      <w:pPr>
        <w:bidi w:val="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62501" w:rsidRDefault="00762501" w:rsidP="00134FF8">
      <w:pPr>
        <w:spacing w:line="24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المصادر والمراجع بالعربية: </w:t>
      </w:r>
    </w:p>
    <w:p w:rsidR="00762501" w:rsidRPr="00CA494D" w:rsidRDefault="00762501" w:rsidP="0076250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abic Typesetting" w:hAnsi="Arabic Typesetting" w:cs="Arabic Typesetting"/>
          <w:b/>
          <w:bCs/>
        </w:rPr>
      </w:pPr>
      <w:r w:rsidRPr="00CA494D">
        <w:rPr>
          <w:rFonts w:ascii="Arabic Typesetting" w:hAnsi="Arabic Typesetting" w:cs="Arabic Typesetting"/>
          <w:rtl/>
        </w:rPr>
        <w:t xml:space="preserve">حمدان بن عثمان خوجة، </w:t>
      </w:r>
      <w:r w:rsidRPr="00CA494D">
        <w:rPr>
          <w:rFonts w:ascii="Arabic Typesetting" w:hAnsi="Arabic Typesetting" w:cs="Arabic Typesetting"/>
          <w:b/>
          <w:bCs/>
          <w:rtl/>
        </w:rPr>
        <w:t>المرآة</w:t>
      </w:r>
      <w:r w:rsidRPr="00CA494D">
        <w:rPr>
          <w:rFonts w:ascii="Arabic Typesetting" w:hAnsi="Arabic Typesetting" w:cs="Arabic Typesetting"/>
          <w:rtl/>
        </w:rPr>
        <w:t xml:space="preserve">، تقديم وتحقيق وتعريب العربي الزبيري، </w:t>
      </w:r>
      <w:r w:rsidRPr="00CA494D">
        <w:rPr>
          <w:rFonts w:ascii="Arabic Typesetting" w:hAnsi="Arabic Typesetting" w:cs="Arabic Typesetting"/>
          <w:rtl/>
          <w:lang w:bidi="ar-DZ"/>
        </w:rPr>
        <w:t>المؤسسة الوطنية للاتصال النشر والإشهار، 2005م.</w:t>
      </w:r>
    </w:p>
    <w:p w:rsidR="00762501" w:rsidRPr="00CA494D" w:rsidRDefault="00762501" w:rsidP="0076250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abic Typesetting" w:hAnsi="Arabic Typesetting" w:cs="Arabic Typesetting"/>
          <w:b/>
          <w:bCs/>
        </w:rPr>
      </w:pPr>
      <w:r w:rsidRPr="00CA494D">
        <w:rPr>
          <w:rFonts w:ascii="Arabic Typesetting" w:hAnsi="Arabic Typesetting" w:cs="Arabic Typesetting"/>
          <w:rtl/>
        </w:rPr>
        <w:t>أحمد الشريف</w:t>
      </w:r>
      <w:r w:rsidR="00CA494D" w:rsidRPr="00CA494D">
        <w:rPr>
          <w:rFonts w:ascii="Arabic Typesetting" w:hAnsi="Arabic Typesetting" w:cs="Arabic Typesetting"/>
          <w:rtl/>
        </w:rPr>
        <w:t xml:space="preserve"> الزهار</w:t>
      </w:r>
      <w:r w:rsidRPr="00CA494D">
        <w:rPr>
          <w:rFonts w:ascii="Arabic Typesetting" w:hAnsi="Arabic Typesetting" w:cs="Arabic Typesetting"/>
          <w:rtl/>
        </w:rPr>
        <w:t xml:space="preserve">، </w:t>
      </w:r>
      <w:r w:rsidRPr="00CA494D">
        <w:rPr>
          <w:rFonts w:ascii="Arabic Typesetting" w:hAnsi="Arabic Typesetting" w:cs="Arabic Typesetting"/>
          <w:b/>
          <w:bCs/>
          <w:rtl/>
        </w:rPr>
        <w:t>مذكرات الحاج أحمد الشريف الزهار نقيب أشراف الجزائر 1168-1246ه/1754-1830م</w:t>
      </w:r>
      <w:r w:rsidRPr="00CA494D">
        <w:rPr>
          <w:rFonts w:ascii="Arabic Typesetting" w:hAnsi="Arabic Typesetting" w:cs="Arabic Typesetting"/>
          <w:rtl/>
        </w:rPr>
        <w:t>، ط2، تحقيق أحمد توفيق المدني، الشركة الوطنية للنشر والتوزيع، الجزائر، 1980م.</w:t>
      </w:r>
    </w:p>
    <w:p w:rsidR="00762501" w:rsidRPr="00CA494D" w:rsidRDefault="00762501" w:rsidP="0076250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abic Typesetting" w:hAnsi="Arabic Typesetting" w:cs="Arabic Typesetting"/>
          <w:b/>
          <w:bCs/>
        </w:rPr>
      </w:pPr>
      <w:r w:rsidRPr="00CA494D">
        <w:rPr>
          <w:rFonts w:ascii="Arabic Typesetting" w:hAnsi="Arabic Typesetting" w:cs="Arabic Typesetting"/>
          <w:rtl/>
        </w:rPr>
        <w:t>وليام</w:t>
      </w:r>
      <w:r w:rsidR="00CA494D" w:rsidRPr="00CA494D">
        <w:rPr>
          <w:rFonts w:ascii="Arabic Typesetting" w:hAnsi="Arabic Typesetting" w:cs="Arabic Typesetting"/>
          <w:rtl/>
        </w:rPr>
        <w:t xml:space="preserve"> شالر</w:t>
      </w:r>
      <w:r w:rsidRPr="00CA494D">
        <w:rPr>
          <w:rFonts w:ascii="Arabic Typesetting" w:hAnsi="Arabic Typesetting" w:cs="Arabic Typesetting"/>
          <w:rtl/>
        </w:rPr>
        <w:t xml:space="preserve">، </w:t>
      </w:r>
      <w:r w:rsidRPr="00CA494D">
        <w:rPr>
          <w:rFonts w:ascii="Arabic Typesetting" w:hAnsi="Arabic Typesetting" w:cs="Arabic Typesetting"/>
          <w:b/>
          <w:bCs/>
          <w:rtl/>
        </w:rPr>
        <w:t>مذكرات وليم شالر قنصل أمريكا في الجزائر 1816-1824</w:t>
      </w:r>
      <w:r w:rsidRPr="00CA494D">
        <w:rPr>
          <w:rFonts w:ascii="Arabic Typesetting" w:hAnsi="Arabic Typesetting" w:cs="Arabic Typesetting"/>
          <w:rtl/>
        </w:rPr>
        <w:t>، تعريب وتعليق وتقديم إسماعيل العربي، الشركة الوطنية للنشر والتوزيع، الجزائر، 1982م.</w:t>
      </w:r>
    </w:p>
    <w:p w:rsidR="00762501" w:rsidRPr="00CA494D" w:rsidRDefault="00762501" w:rsidP="0076250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abic Typesetting" w:hAnsi="Arabic Typesetting" w:cs="Arabic Typesetting"/>
          <w:b/>
          <w:bCs/>
        </w:rPr>
      </w:pPr>
      <w:r w:rsidRPr="00CA494D">
        <w:rPr>
          <w:rFonts w:ascii="Arabic Typesetting" w:hAnsi="Arabic Typesetting" w:cs="Arabic Typesetting"/>
          <w:rtl/>
          <w:lang w:bidi="ar-DZ"/>
        </w:rPr>
        <w:t>الأغا بن عودة</w:t>
      </w:r>
      <w:r w:rsidR="00CA494D" w:rsidRPr="00CA494D">
        <w:rPr>
          <w:rFonts w:ascii="Arabic Typesetting" w:hAnsi="Arabic Typesetting" w:cs="Arabic Typesetting"/>
          <w:rtl/>
          <w:lang w:bidi="ar-DZ"/>
        </w:rPr>
        <w:t xml:space="preserve"> المزاري</w:t>
      </w:r>
      <w:r w:rsidRPr="00CA494D">
        <w:rPr>
          <w:rFonts w:ascii="Arabic Typesetting" w:hAnsi="Arabic Typesetting" w:cs="Arabic Typesetting"/>
          <w:rtl/>
          <w:lang w:bidi="ar-DZ"/>
        </w:rPr>
        <w:t xml:space="preserve">، </w:t>
      </w:r>
      <w:r w:rsidRPr="00CA494D">
        <w:rPr>
          <w:rFonts w:ascii="Arabic Typesetting" w:hAnsi="Arabic Typesetting" w:cs="Arabic Typesetting"/>
          <w:b/>
          <w:bCs/>
          <w:rtl/>
          <w:lang w:bidi="ar-DZ"/>
        </w:rPr>
        <w:t>طلوع سعد السعود في أخبار وهران والجزائر واسبانيا وفرنسا إلى أواخر القرن التاسع عشر</w:t>
      </w:r>
      <w:r w:rsidRPr="00CA494D">
        <w:rPr>
          <w:rFonts w:ascii="Arabic Typesetting" w:hAnsi="Arabic Typesetting" w:cs="Arabic Typesetting"/>
          <w:rtl/>
          <w:lang w:bidi="ar-DZ"/>
        </w:rPr>
        <w:t>، تحقيق ودراسة يحيى بوعزيز، ط1، ج1، دار الغرب الإسلامي، بيروت لبنان، 1990م.</w:t>
      </w:r>
    </w:p>
    <w:p w:rsidR="00762501" w:rsidRPr="00CA494D" w:rsidRDefault="00762501" w:rsidP="0076250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abic Typesetting" w:hAnsi="Arabic Typesetting" w:cs="Arabic Typesetting"/>
          <w:b/>
          <w:bCs/>
          <w:rtl/>
        </w:rPr>
      </w:pPr>
      <w:r w:rsidRPr="00CA494D">
        <w:rPr>
          <w:rFonts w:ascii="Arabic Typesetting" w:hAnsi="Arabic Typesetting" w:cs="Arabic Typesetting"/>
          <w:rtl/>
        </w:rPr>
        <w:t>عزيز سامح</w:t>
      </w:r>
      <w:r w:rsidR="00CA494D" w:rsidRPr="00CA494D">
        <w:rPr>
          <w:rFonts w:ascii="Arabic Typesetting" w:hAnsi="Arabic Typesetting" w:cs="Arabic Typesetting"/>
          <w:rtl/>
        </w:rPr>
        <w:t xml:space="preserve"> إلتر</w:t>
      </w:r>
      <w:r w:rsidRPr="00CA494D">
        <w:rPr>
          <w:rFonts w:ascii="Arabic Typesetting" w:hAnsi="Arabic Typesetting" w:cs="Arabic Typesetting"/>
          <w:rtl/>
        </w:rPr>
        <w:t xml:space="preserve">، </w:t>
      </w:r>
      <w:r w:rsidRPr="00CA494D">
        <w:rPr>
          <w:rFonts w:ascii="Arabic Typesetting" w:hAnsi="Arabic Typesetting" w:cs="Arabic Typesetting"/>
          <w:b/>
          <w:bCs/>
          <w:rtl/>
        </w:rPr>
        <w:t>الأتراك العثمانيون في إفريقيا الشمالية</w:t>
      </w:r>
      <w:r w:rsidRPr="00CA494D">
        <w:rPr>
          <w:rFonts w:ascii="Arabic Typesetting" w:hAnsi="Arabic Typesetting" w:cs="Arabic Typesetting"/>
          <w:rtl/>
        </w:rPr>
        <w:t>، ط1، ترجمة: محمود علي عامر، دار النهضة العربية للطباعة والنشر، بيروت، 1409</w:t>
      </w:r>
      <w:r w:rsidRPr="00CA494D">
        <w:rPr>
          <w:rFonts w:ascii="Arabic Typesetting" w:hAnsi="Arabic Typesetting" w:cs="Arabic Typesetting"/>
          <w:rtl/>
          <w:lang w:bidi="ar-DZ"/>
        </w:rPr>
        <w:t>هـ/</w:t>
      </w:r>
      <w:r w:rsidRPr="00CA494D">
        <w:rPr>
          <w:rFonts w:ascii="Arabic Typesetting" w:hAnsi="Arabic Typesetting" w:cs="Arabic Typesetting"/>
          <w:rtl/>
        </w:rPr>
        <w:t>1979.</w:t>
      </w:r>
    </w:p>
    <w:p w:rsidR="00943506" w:rsidRPr="00CA494D" w:rsidRDefault="00943506" w:rsidP="0076250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abic Typesetting" w:hAnsi="Arabic Typesetting" w:cs="Arabic Typesetting"/>
        </w:rPr>
      </w:pPr>
      <w:r w:rsidRPr="00CA494D">
        <w:rPr>
          <w:rFonts w:ascii="Arabic Typesetting" w:hAnsi="Arabic Typesetting" w:cs="Arabic Typesetting"/>
          <w:rtl/>
        </w:rPr>
        <w:t>مولاي بلحميسي: غارة شارلكان على مدينة الجزائر 1541 بين المصادر الإسلامية و المصادر الغربية، مجلة تاريخ و حضارة المغرب، عدد 6، 1969.</w:t>
      </w:r>
    </w:p>
    <w:p w:rsidR="002D4EB1" w:rsidRPr="00CA494D" w:rsidRDefault="002D4EB1" w:rsidP="0076250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abic Typesetting" w:hAnsi="Arabic Typesetting" w:cs="Arabic Typesetting"/>
        </w:rPr>
      </w:pPr>
      <w:r w:rsidRPr="00CA494D">
        <w:rPr>
          <w:rFonts w:ascii="Arabic Typesetting" w:hAnsi="Arabic Typesetting" w:cs="Arabic Typesetting"/>
          <w:rtl/>
        </w:rPr>
        <w:t>مولاي</w:t>
      </w:r>
      <w:r w:rsidR="00CA494D" w:rsidRPr="00CA494D">
        <w:rPr>
          <w:rFonts w:ascii="Arabic Typesetting" w:hAnsi="Arabic Typesetting" w:cs="Arabic Typesetting"/>
          <w:rtl/>
        </w:rPr>
        <w:t xml:space="preserve"> بلحميسي</w:t>
      </w:r>
      <w:r w:rsidRPr="00CA494D">
        <w:rPr>
          <w:rFonts w:ascii="Arabic Typesetting" w:hAnsi="Arabic Typesetting" w:cs="Arabic Typesetting"/>
          <w:rtl/>
        </w:rPr>
        <w:t xml:space="preserve">، </w:t>
      </w:r>
      <w:r w:rsidRPr="00CA494D">
        <w:rPr>
          <w:rFonts w:ascii="Arabic Typesetting" w:hAnsi="Arabic Typesetting" w:cs="Arabic Typesetting"/>
          <w:b/>
          <w:bCs/>
          <w:rtl/>
        </w:rPr>
        <w:t>"المؤرخون الإيطاليون</w:t>
      </w:r>
      <w:r w:rsidRPr="00CA494D">
        <w:rPr>
          <w:rFonts w:ascii="Arabic Typesetting" w:hAnsi="Arabic Typesetting" w:cs="Arabic Typesetting"/>
          <w:rtl/>
        </w:rPr>
        <w:t xml:space="preserve"> </w:t>
      </w:r>
      <w:r w:rsidRPr="00CA494D">
        <w:rPr>
          <w:rFonts w:ascii="Arabic Typesetting" w:hAnsi="Arabic Typesetting" w:cs="Arabic Typesetting"/>
          <w:b/>
          <w:bCs/>
          <w:rtl/>
        </w:rPr>
        <w:t>والجزائر في العهد التركي</w:t>
      </w:r>
      <w:r w:rsidRPr="00CA494D">
        <w:rPr>
          <w:rFonts w:ascii="Arabic Typesetting" w:hAnsi="Arabic Typesetting" w:cs="Arabic Typesetting"/>
          <w:rtl/>
        </w:rPr>
        <w:t>"، مجلة تاريخ وحضارة المغرب، العدد 10، أكتوبر 1973م، ص ص.9- 14.</w:t>
      </w:r>
    </w:p>
    <w:p w:rsidR="002D4EB1" w:rsidRPr="00CA494D" w:rsidRDefault="002D4EB1" w:rsidP="002D4EB1">
      <w:pPr>
        <w:pStyle w:val="Notedebasdepage"/>
        <w:numPr>
          <w:ilvl w:val="0"/>
          <w:numId w:val="1"/>
        </w:numPr>
        <w:bidi/>
        <w:jc w:val="both"/>
        <w:rPr>
          <w:rFonts w:ascii="Arabic Typesetting" w:hAnsi="Arabic Typesetting" w:cs="Arabic Typesetting"/>
          <w:color w:val="000000"/>
          <w:sz w:val="36"/>
          <w:szCs w:val="36"/>
        </w:rPr>
      </w:pPr>
      <w:r w:rsidRPr="00CA494D">
        <w:rPr>
          <w:rFonts w:ascii="Arabic Typesetting" w:hAnsi="Arabic Typesetting" w:cs="Arabic Typesetting"/>
          <w:sz w:val="36"/>
          <w:szCs w:val="36"/>
          <w:rtl/>
          <w:lang w:bidi="ar-DZ"/>
        </w:rPr>
        <w:t>زكية</w:t>
      </w:r>
      <w:r w:rsidR="00CA494D" w:rsidRPr="00CA4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زهرة</w:t>
      </w:r>
      <w:r w:rsidRPr="00CA494D">
        <w:rPr>
          <w:rFonts w:ascii="Arabic Typesetting" w:hAnsi="Arabic Typesetting" w:cs="Arabic Typesetting"/>
          <w:sz w:val="36"/>
          <w:szCs w:val="36"/>
          <w:rtl/>
          <w:lang w:bidi="ar-DZ"/>
        </w:rPr>
        <w:t>، "</w:t>
      </w:r>
      <w:r w:rsidRPr="00CA494D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الجيش الإنكشاري</w:t>
      </w:r>
      <w:r w:rsidRPr="00CA4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"، </w:t>
      </w:r>
      <w:r w:rsidRPr="00CA494D">
        <w:rPr>
          <w:rFonts w:ascii="Arabic Typesetting" w:hAnsi="Arabic Typesetting" w:cs="Arabic Typesetting"/>
          <w:sz w:val="36"/>
          <w:szCs w:val="36"/>
          <w:rtl/>
        </w:rPr>
        <w:t>الدولة الجزائرية الحديثة ومؤسساتها سلسلة المشاريع الوطنية للبحث، منشورات المركز الوطني للدراسات والبحث في الحركة الوطنية وثورة أول نوفمبر، الجزائر، 1954/2007</w:t>
      </w:r>
      <w:r w:rsidRPr="00CA494D">
        <w:rPr>
          <w:rFonts w:ascii="Arabic Typesetting" w:hAnsi="Arabic Typesetting" w:cs="Arabic Typesetting"/>
          <w:color w:val="000000"/>
          <w:sz w:val="36"/>
          <w:szCs w:val="36"/>
          <w:rtl/>
        </w:rPr>
        <w:t>، ص ص.69-94.</w:t>
      </w:r>
    </w:p>
    <w:p w:rsidR="002D4EB1" w:rsidRPr="00CA494D" w:rsidRDefault="002D4EB1" w:rsidP="0076250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abic Typesetting" w:hAnsi="Arabic Typesetting" w:cs="Arabic Typesetting"/>
        </w:rPr>
      </w:pPr>
      <w:r w:rsidRPr="00CA494D">
        <w:rPr>
          <w:rFonts w:ascii="Arabic Typesetting" w:hAnsi="Arabic Typesetting" w:cs="Arabic Typesetting"/>
          <w:color w:val="222222"/>
          <w:shd w:val="clear" w:color="auto" w:fill="FFFFFF"/>
          <w:rtl/>
          <w:lang w:bidi="ar-DZ"/>
        </w:rPr>
        <w:t>ناصر الدين</w:t>
      </w:r>
      <w:r w:rsidR="00CA494D" w:rsidRPr="00CA494D">
        <w:rPr>
          <w:rFonts w:ascii="Arabic Typesetting" w:hAnsi="Arabic Typesetting" w:cs="Arabic Typesetting"/>
          <w:color w:val="222222"/>
          <w:shd w:val="clear" w:color="auto" w:fill="FFFFFF"/>
          <w:rtl/>
          <w:lang w:bidi="ar-DZ"/>
        </w:rPr>
        <w:t xml:space="preserve"> سعيدوني</w:t>
      </w:r>
      <w:r w:rsidRPr="00CA494D">
        <w:rPr>
          <w:rFonts w:ascii="Arabic Typesetting" w:hAnsi="Arabic Typesetting" w:cs="Arabic Typesetting"/>
          <w:color w:val="222222"/>
          <w:shd w:val="clear" w:color="auto" w:fill="FFFFFF"/>
          <w:rtl/>
          <w:lang w:bidi="ar-DZ"/>
        </w:rPr>
        <w:t>، "</w:t>
      </w:r>
      <w:r w:rsidRPr="00CA494D">
        <w:rPr>
          <w:rFonts w:ascii="Arabic Typesetting" w:hAnsi="Arabic Typesetting" w:cs="Arabic Typesetting"/>
          <w:b/>
          <w:bCs/>
          <w:color w:val="222222"/>
          <w:shd w:val="clear" w:color="auto" w:fill="FFFFFF"/>
          <w:rtl/>
          <w:lang w:bidi="ar-DZ"/>
        </w:rPr>
        <w:t>ثورة ابن الأحرش بين التمرد المحلي والانتفاضة الشعبية"</w:t>
      </w:r>
      <w:r w:rsidRPr="00CA494D">
        <w:rPr>
          <w:rFonts w:ascii="Arabic Typesetting" w:hAnsi="Arabic Typesetting" w:cs="Arabic Typesetting"/>
          <w:color w:val="222222"/>
          <w:shd w:val="clear" w:color="auto" w:fill="FFFFFF"/>
          <w:rtl/>
          <w:lang w:bidi="ar-DZ"/>
        </w:rPr>
        <w:t>، مجلة الثقافة، العدد 78، الجزائر، ديسمبر 1978، ص ص.199-224.</w:t>
      </w:r>
    </w:p>
    <w:p w:rsidR="002D4EB1" w:rsidRPr="00CA494D" w:rsidRDefault="002D4EB1" w:rsidP="00305003">
      <w:pPr>
        <w:pStyle w:val="Paragraphedeliste"/>
        <w:numPr>
          <w:ilvl w:val="0"/>
          <w:numId w:val="1"/>
        </w:numPr>
        <w:tabs>
          <w:tab w:val="right" w:pos="6092"/>
        </w:tabs>
        <w:spacing w:line="240" w:lineRule="auto"/>
        <w:jc w:val="both"/>
        <w:rPr>
          <w:rFonts w:ascii="Arabic Typesetting" w:hAnsi="Arabic Typesetting" w:cs="Arabic Typesetting"/>
        </w:rPr>
      </w:pPr>
      <w:r w:rsidRPr="00CA494D">
        <w:rPr>
          <w:rFonts w:ascii="Arabic Typesetting" w:hAnsi="Arabic Typesetting" w:cs="Arabic Typesetting"/>
          <w:rtl/>
        </w:rPr>
        <w:t>عائشة</w:t>
      </w:r>
      <w:r w:rsidR="00CA494D" w:rsidRPr="00CA494D">
        <w:rPr>
          <w:rFonts w:ascii="Arabic Typesetting" w:hAnsi="Arabic Typesetting" w:cs="Arabic Typesetting"/>
          <w:rtl/>
        </w:rPr>
        <w:t xml:space="preserve"> غطاس</w:t>
      </w:r>
      <w:r w:rsidRPr="00CA494D">
        <w:rPr>
          <w:rFonts w:ascii="Arabic Typesetting" w:hAnsi="Arabic Typesetting" w:cs="Arabic Typesetting"/>
          <w:rtl/>
        </w:rPr>
        <w:t xml:space="preserve">، </w:t>
      </w:r>
      <w:r w:rsidRPr="00CA494D">
        <w:rPr>
          <w:rFonts w:ascii="Arabic Typesetting" w:hAnsi="Arabic Typesetting" w:cs="Arabic Typesetting"/>
          <w:b/>
          <w:bCs/>
          <w:rtl/>
        </w:rPr>
        <w:t>"أوقاف الحرمين الشريفين بالجزائر إبان العهد العثماني مظهر من مظاهر التواصل بين الجزائر وبلاد الحجاز"</w:t>
      </w:r>
      <w:r w:rsidRPr="00CA494D">
        <w:rPr>
          <w:rFonts w:ascii="Arabic Typesetting" w:hAnsi="Arabic Typesetting" w:cs="Arabic Typesetting"/>
          <w:rtl/>
        </w:rPr>
        <w:t xml:space="preserve">، أعمال المؤتمر العلمي الخليجي المغاربي الأول حول: العلاقات بين دول الخليج والمغرب العربيين الواقع والمستقبل، </w:t>
      </w:r>
      <w:r w:rsidRPr="00305003">
        <w:rPr>
          <w:rFonts w:ascii="Arabic Typesetting" w:hAnsi="Arabic Typesetting" w:cs="Arabic Typesetting"/>
          <w:rtl/>
        </w:rPr>
        <w:t>منشورات</w:t>
      </w:r>
      <w:r w:rsidRPr="00CA494D">
        <w:rPr>
          <w:rFonts w:ascii="Arabic Typesetting" w:hAnsi="Arabic Typesetting" w:cs="Arabic Typesetting"/>
          <w:rtl/>
        </w:rPr>
        <w:t xml:space="preserve"> مؤسسة التميمي للبحث العلمي والمعلومات، تونس، جوان 2003.</w:t>
      </w:r>
      <w:r w:rsidRPr="00CA494D">
        <w:rPr>
          <w:rFonts w:ascii="Arabic Typesetting" w:hAnsi="Arabic Typesetting" w:cs="Arabic Typesetting"/>
          <w:rtl/>
          <w:lang w:bidi="ar-DZ"/>
        </w:rPr>
        <w:t xml:space="preserve"> ص ص. 209-227.</w:t>
      </w:r>
    </w:p>
    <w:p w:rsidR="00260405" w:rsidRPr="00260405" w:rsidRDefault="00260405" w:rsidP="00260405">
      <w:pPr>
        <w:pStyle w:val="Paragraphedeliste"/>
        <w:spacing w:line="240" w:lineRule="auto"/>
        <w:ind w:left="644" w:firstLine="0"/>
        <w:jc w:val="both"/>
        <w:rPr>
          <w:rFonts w:ascii="Arabic Typesetting" w:hAnsi="Arabic Typesetting" w:cs="Arabic Typesetting"/>
          <w:lang w:bidi="ar-DZ"/>
        </w:rPr>
      </w:pPr>
      <w:r w:rsidRPr="00260405">
        <w:rPr>
          <w:rFonts w:ascii="Arabic Typesetting" w:hAnsi="Arabic Typesetting" w:cs="Arabic Typesetting"/>
          <w:rtl/>
        </w:rPr>
        <w:t xml:space="preserve">- وليام سبنسر , الجزائر في عهد رياس البحر </w:t>
      </w:r>
      <w:r>
        <w:rPr>
          <w:rFonts w:ascii="Arabic Typesetting" w:hAnsi="Arabic Typesetting" w:cs="Arabic Typesetting" w:hint="cs"/>
          <w:rtl/>
        </w:rPr>
        <w:t xml:space="preserve">, تع عبد القادر زبادية ’ الشركة الوطنية للنشر و التوزيع  , الجزائر </w:t>
      </w:r>
      <w:r w:rsidR="00087C80">
        <w:rPr>
          <w:rFonts w:ascii="Arabic Typesetting" w:hAnsi="Arabic Typesetting" w:cs="Arabic Typesetting" w:hint="cs"/>
          <w:rtl/>
        </w:rPr>
        <w:t>, 1980 , ص 73.</w:t>
      </w:r>
    </w:p>
    <w:p w:rsidR="00943506" w:rsidRPr="00CA494D" w:rsidRDefault="00260405" w:rsidP="00260405">
      <w:pPr>
        <w:pStyle w:val="Paragraphedeliste"/>
        <w:spacing w:line="240" w:lineRule="auto"/>
        <w:ind w:left="644" w:firstLine="0"/>
        <w:jc w:val="both"/>
        <w:rPr>
          <w:rFonts w:ascii="Arabic Typesetting" w:hAnsi="Arabic Typesetting" w:cs="Arabic Typesetting"/>
          <w:rtl/>
        </w:rPr>
      </w:pPr>
      <w:r w:rsidRPr="00260405">
        <w:rPr>
          <w:rFonts w:ascii="Arabic Typesetting" w:hAnsi="Arabic Typesetting" w:cs="Arabic Typesetting"/>
        </w:rPr>
        <w:t xml:space="preserve">Henri de Grammont </w:t>
      </w:r>
      <w:r w:rsidRPr="00260405">
        <w:rPr>
          <w:rFonts w:ascii="Arabic Typesetting" w:hAnsi="Arabic Typesetting" w:cs="Arabic Typesetting"/>
          <w:b/>
          <w:bCs/>
        </w:rPr>
        <w:t>, histoire d’Alger sous la domination turque 1515/1830</w:t>
      </w:r>
      <w:r>
        <w:rPr>
          <w:rFonts w:ascii="Arabic Typesetting" w:hAnsi="Arabic Typesetting" w:cs="Arabic Typesetting"/>
          <w:b/>
          <w:bCs/>
        </w:rPr>
        <w:t xml:space="preserve"> </w:t>
      </w:r>
      <w:r w:rsidRPr="00260405">
        <w:rPr>
          <w:rFonts w:ascii="Arabic Typesetting" w:hAnsi="Arabic Typesetting" w:cs="Arabic Typesetting"/>
        </w:rPr>
        <w:t>p</w:t>
      </w:r>
      <w:r>
        <w:rPr>
          <w:rFonts w:ascii="Arabic Typesetting" w:hAnsi="Arabic Typesetting" w:cs="Arabic Typesetting"/>
        </w:rPr>
        <w:t xml:space="preserve">resentation de lemnouar merouche , ed bouchene , paris 2002 </w:t>
      </w:r>
      <w:r w:rsidRPr="00260405">
        <w:rPr>
          <w:rFonts w:ascii="Arabic Typesetting" w:hAnsi="Arabic Typesetting" w:cs="Arabic Typesetting"/>
          <w:rtl/>
        </w:rPr>
        <w:t xml:space="preserve">    </w:t>
      </w:r>
    </w:p>
    <w:sectPr w:rsidR="00943506" w:rsidRPr="00CA494D" w:rsidSect="00474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28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C0" w:rsidRDefault="00B823C0" w:rsidP="00FD290E">
      <w:pPr>
        <w:spacing w:after="0" w:line="240" w:lineRule="auto"/>
      </w:pPr>
      <w:r>
        <w:separator/>
      </w:r>
    </w:p>
  </w:endnote>
  <w:endnote w:type="continuationSeparator" w:id="0">
    <w:p w:rsidR="00B823C0" w:rsidRDefault="00B823C0" w:rsidP="00FD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ajalla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E4" w:rsidRDefault="001D42E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0516001"/>
      <w:docPartObj>
        <w:docPartGallery w:val="Page Numbers (Bottom of Page)"/>
        <w:docPartUnique/>
      </w:docPartObj>
    </w:sdtPr>
    <w:sdtEndPr/>
    <w:sdtContent>
      <w:p w:rsidR="0025158C" w:rsidRDefault="00EF2D0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F2B" w:rsidRPr="005B7F2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25158C" w:rsidRDefault="0025158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E4" w:rsidRDefault="001D42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C0" w:rsidRDefault="00B823C0" w:rsidP="00FD290E">
      <w:pPr>
        <w:spacing w:after="0" w:line="240" w:lineRule="auto"/>
      </w:pPr>
      <w:r>
        <w:separator/>
      </w:r>
    </w:p>
  </w:footnote>
  <w:footnote w:type="continuationSeparator" w:id="0">
    <w:p w:rsidR="00B823C0" w:rsidRDefault="00B823C0" w:rsidP="00FD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E4" w:rsidRDefault="001D42E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E4" w:rsidRDefault="001D42E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E4" w:rsidRDefault="001D42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18C2"/>
    <w:multiLevelType w:val="hybridMultilevel"/>
    <w:tmpl w:val="2B7A3524"/>
    <w:lvl w:ilvl="0" w:tplc="30E087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A06993"/>
    <w:multiLevelType w:val="hybridMultilevel"/>
    <w:tmpl w:val="405C7042"/>
    <w:lvl w:ilvl="0" w:tplc="D8002086">
      <w:start w:val="1"/>
      <w:numFmt w:val="bullet"/>
      <w:lvlText w:val="-"/>
      <w:lvlJc w:val="left"/>
      <w:pPr>
        <w:ind w:left="644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6865FE"/>
    <w:multiLevelType w:val="hybridMultilevel"/>
    <w:tmpl w:val="4972157A"/>
    <w:lvl w:ilvl="0" w:tplc="BC4C2E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42485C"/>
    <w:multiLevelType w:val="hybridMultilevel"/>
    <w:tmpl w:val="BF4A1E36"/>
    <w:lvl w:ilvl="0" w:tplc="5A2814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B30502"/>
    <w:multiLevelType w:val="hybridMultilevel"/>
    <w:tmpl w:val="202A4B90"/>
    <w:lvl w:ilvl="0" w:tplc="D81E7C2C">
      <w:start w:val="5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D50F1"/>
    <w:multiLevelType w:val="hybridMultilevel"/>
    <w:tmpl w:val="0928AACA"/>
    <w:lvl w:ilvl="0" w:tplc="ED5EB786">
      <w:start w:val="13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FB278F"/>
    <w:multiLevelType w:val="hybridMultilevel"/>
    <w:tmpl w:val="C2188AB2"/>
    <w:lvl w:ilvl="0" w:tplc="C40811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89A6E98"/>
    <w:multiLevelType w:val="hybridMultilevel"/>
    <w:tmpl w:val="6CFED748"/>
    <w:lvl w:ilvl="0" w:tplc="79F08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A5A261B"/>
    <w:multiLevelType w:val="hybridMultilevel"/>
    <w:tmpl w:val="4CB42412"/>
    <w:lvl w:ilvl="0" w:tplc="600E4CB0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262DE"/>
    <w:multiLevelType w:val="hybridMultilevel"/>
    <w:tmpl w:val="6418678E"/>
    <w:lvl w:ilvl="0" w:tplc="B0EA894A">
      <w:numFmt w:val="bullet"/>
      <w:lvlText w:val="-"/>
      <w:lvlJc w:val="left"/>
      <w:pPr>
        <w:ind w:left="644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573DE"/>
    <w:multiLevelType w:val="hybridMultilevel"/>
    <w:tmpl w:val="6F00CE5C"/>
    <w:lvl w:ilvl="0" w:tplc="8C3A29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5F6F46"/>
    <w:multiLevelType w:val="hybridMultilevel"/>
    <w:tmpl w:val="8EF021D6"/>
    <w:lvl w:ilvl="0" w:tplc="54F6FD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6CB720A"/>
    <w:multiLevelType w:val="hybridMultilevel"/>
    <w:tmpl w:val="2F82FF2A"/>
    <w:lvl w:ilvl="0" w:tplc="9252FCBA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1ED15AC"/>
    <w:multiLevelType w:val="hybridMultilevel"/>
    <w:tmpl w:val="6F4E6912"/>
    <w:lvl w:ilvl="0" w:tplc="A9DE42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6120DC"/>
    <w:multiLevelType w:val="hybridMultilevel"/>
    <w:tmpl w:val="892E4FF4"/>
    <w:lvl w:ilvl="0" w:tplc="C9B6C480">
      <w:numFmt w:val="bullet"/>
      <w:lvlText w:val="-"/>
      <w:lvlJc w:val="left"/>
      <w:pPr>
        <w:ind w:left="450" w:hanging="360"/>
      </w:pPr>
      <w:rPr>
        <w:rFonts w:ascii="Arial" w:eastAsia="Calibri" w:hAnsi="Arial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45DA7093"/>
    <w:multiLevelType w:val="hybridMultilevel"/>
    <w:tmpl w:val="2EE0C2F0"/>
    <w:lvl w:ilvl="0" w:tplc="ED5EB786">
      <w:start w:val="13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D77267"/>
    <w:multiLevelType w:val="hybridMultilevel"/>
    <w:tmpl w:val="F836C930"/>
    <w:lvl w:ilvl="0" w:tplc="229AED80">
      <w:start w:val="1"/>
      <w:numFmt w:val="decimal"/>
      <w:lvlText w:val="%1-"/>
      <w:lvlJc w:val="left"/>
      <w:pPr>
        <w:ind w:left="1004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FA214C5"/>
    <w:multiLevelType w:val="hybridMultilevel"/>
    <w:tmpl w:val="EA50A142"/>
    <w:lvl w:ilvl="0" w:tplc="9C18DE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FFF0B9C"/>
    <w:multiLevelType w:val="hybridMultilevel"/>
    <w:tmpl w:val="38C8B56E"/>
    <w:lvl w:ilvl="0" w:tplc="F5F41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10E2682"/>
    <w:multiLevelType w:val="hybridMultilevel"/>
    <w:tmpl w:val="33466DCA"/>
    <w:lvl w:ilvl="0" w:tplc="0BA62E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3BC63D4"/>
    <w:multiLevelType w:val="hybridMultilevel"/>
    <w:tmpl w:val="FCE445FA"/>
    <w:lvl w:ilvl="0" w:tplc="4EC89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69F37A3"/>
    <w:multiLevelType w:val="hybridMultilevel"/>
    <w:tmpl w:val="9A506DC0"/>
    <w:lvl w:ilvl="0" w:tplc="FCE0E9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5CF4E2E"/>
    <w:multiLevelType w:val="hybridMultilevel"/>
    <w:tmpl w:val="5360EB06"/>
    <w:lvl w:ilvl="0" w:tplc="2A9892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6B42882"/>
    <w:multiLevelType w:val="hybridMultilevel"/>
    <w:tmpl w:val="65D4CDA6"/>
    <w:lvl w:ilvl="0" w:tplc="84A04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B7B6B31"/>
    <w:multiLevelType w:val="hybridMultilevel"/>
    <w:tmpl w:val="75FA63E4"/>
    <w:lvl w:ilvl="0" w:tplc="7FE0190E">
      <w:start w:val="1"/>
      <w:numFmt w:val="decimal"/>
      <w:lvlText w:val="%1-"/>
      <w:lvlJc w:val="left"/>
      <w:pPr>
        <w:ind w:left="9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5">
    <w:nsid w:val="7C2C67AC"/>
    <w:multiLevelType w:val="hybridMultilevel"/>
    <w:tmpl w:val="300ECF56"/>
    <w:lvl w:ilvl="0" w:tplc="8C424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DBB3985"/>
    <w:multiLevelType w:val="hybridMultilevel"/>
    <w:tmpl w:val="A3D25FE4"/>
    <w:lvl w:ilvl="0" w:tplc="4DB213F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Simplified Arabic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8"/>
  </w:num>
  <w:num w:numId="5">
    <w:abstractNumId w:val="22"/>
  </w:num>
  <w:num w:numId="6">
    <w:abstractNumId w:val="10"/>
  </w:num>
  <w:num w:numId="7">
    <w:abstractNumId w:val="23"/>
  </w:num>
  <w:num w:numId="8">
    <w:abstractNumId w:val="17"/>
  </w:num>
  <w:num w:numId="9">
    <w:abstractNumId w:val="7"/>
  </w:num>
  <w:num w:numId="10">
    <w:abstractNumId w:val="0"/>
  </w:num>
  <w:num w:numId="11">
    <w:abstractNumId w:val="19"/>
  </w:num>
  <w:num w:numId="12">
    <w:abstractNumId w:val="12"/>
  </w:num>
  <w:num w:numId="13">
    <w:abstractNumId w:val="3"/>
  </w:num>
  <w:num w:numId="14">
    <w:abstractNumId w:val="20"/>
  </w:num>
  <w:num w:numId="15">
    <w:abstractNumId w:val="11"/>
  </w:num>
  <w:num w:numId="16">
    <w:abstractNumId w:val="25"/>
  </w:num>
  <w:num w:numId="17">
    <w:abstractNumId w:val="1"/>
  </w:num>
  <w:num w:numId="18">
    <w:abstractNumId w:val="2"/>
  </w:num>
  <w:num w:numId="19">
    <w:abstractNumId w:val="21"/>
  </w:num>
  <w:num w:numId="20">
    <w:abstractNumId w:val="8"/>
  </w:num>
  <w:num w:numId="21">
    <w:abstractNumId w:val="24"/>
  </w:num>
  <w:num w:numId="22">
    <w:abstractNumId w:val="16"/>
  </w:num>
  <w:num w:numId="23">
    <w:abstractNumId w:val="4"/>
  </w:num>
  <w:num w:numId="24">
    <w:abstractNumId w:val="5"/>
  </w:num>
  <w:num w:numId="25">
    <w:abstractNumId w:val="26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D2"/>
    <w:rsid w:val="00001A7E"/>
    <w:rsid w:val="00001E7E"/>
    <w:rsid w:val="00004340"/>
    <w:rsid w:val="00010BA7"/>
    <w:rsid w:val="00017C98"/>
    <w:rsid w:val="00034384"/>
    <w:rsid w:val="00054646"/>
    <w:rsid w:val="0005609B"/>
    <w:rsid w:val="0005630C"/>
    <w:rsid w:val="00066A8C"/>
    <w:rsid w:val="0007533D"/>
    <w:rsid w:val="000759EE"/>
    <w:rsid w:val="00083AF3"/>
    <w:rsid w:val="00087C80"/>
    <w:rsid w:val="000A2BCE"/>
    <w:rsid w:val="000B601C"/>
    <w:rsid w:val="000C2971"/>
    <w:rsid w:val="00103886"/>
    <w:rsid w:val="00103E42"/>
    <w:rsid w:val="00113354"/>
    <w:rsid w:val="00120973"/>
    <w:rsid w:val="00134FF8"/>
    <w:rsid w:val="00156AEA"/>
    <w:rsid w:val="00160568"/>
    <w:rsid w:val="0017415F"/>
    <w:rsid w:val="00174C68"/>
    <w:rsid w:val="00187898"/>
    <w:rsid w:val="001B21D7"/>
    <w:rsid w:val="001B3277"/>
    <w:rsid w:val="001C4382"/>
    <w:rsid w:val="001D42E4"/>
    <w:rsid w:val="001E0993"/>
    <w:rsid w:val="001E5D32"/>
    <w:rsid w:val="001E6974"/>
    <w:rsid w:val="00207F5D"/>
    <w:rsid w:val="00215BE7"/>
    <w:rsid w:val="002168EF"/>
    <w:rsid w:val="002243B1"/>
    <w:rsid w:val="0025158C"/>
    <w:rsid w:val="00260138"/>
    <w:rsid w:val="00260405"/>
    <w:rsid w:val="00260E73"/>
    <w:rsid w:val="00280FAB"/>
    <w:rsid w:val="002929A0"/>
    <w:rsid w:val="002D367F"/>
    <w:rsid w:val="002D4EB1"/>
    <w:rsid w:val="002E42C3"/>
    <w:rsid w:val="00305003"/>
    <w:rsid w:val="00310A0A"/>
    <w:rsid w:val="003156E6"/>
    <w:rsid w:val="003307CD"/>
    <w:rsid w:val="00331178"/>
    <w:rsid w:val="003370CD"/>
    <w:rsid w:val="00361BDB"/>
    <w:rsid w:val="003919D3"/>
    <w:rsid w:val="003D6B6F"/>
    <w:rsid w:val="003E75F6"/>
    <w:rsid w:val="00410CE7"/>
    <w:rsid w:val="004122B3"/>
    <w:rsid w:val="00443286"/>
    <w:rsid w:val="004530EB"/>
    <w:rsid w:val="004603BF"/>
    <w:rsid w:val="00462FE9"/>
    <w:rsid w:val="00471F81"/>
    <w:rsid w:val="004748D2"/>
    <w:rsid w:val="004F6D11"/>
    <w:rsid w:val="00503944"/>
    <w:rsid w:val="00503E1F"/>
    <w:rsid w:val="005317C0"/>
    <w:rsid w:val="00532DB4"/>
    <w:rsid w:val="005372BA"/>
    <w:rsid w:val="00540A35"/>
    <w:rsid w:val="00562B51"/>
    <w:rsid w:val="00564EDE"/>
    <w:rsid w:val="00574000"/>
    <w:rsid w:val="00575408"/>
    <w:rsid w:val="0057723B"/>
    <w:rsid w:val="0059375C"/>
    <w:rsid w:val="00594A58"/>
    <w:rsid w:val="005A4A40"/>
    <w:rsid w:val="005A68EA"/>
    <w:rsid w:val="005B7F2B"/>
    <w:rsid w:val="00607AE2"/>
    <w:rsid w:val="00612327"/>
    <w:rsid w:val="0061279C"/>
    <w:rsid w:val="00622632"/>
    <w:rsid w:val="00631046"/>
    <w:rsid w:val="00636E30"/>
    <w:rsid w:val="0063707E"/>
    <w:rsid w:val="00674A98"/>
    <w:rsid w:val="006800C2"/>
    <w:rsid w:val="00680A55"/>
    <w:rsid w:val="006B34C5"/>
    <w:rsid w:val="006B3B6F"/>
    <w:rsid w:val="006B49CC"/>
    <w:rsid w:val="006E5D09"/>
    <w:rsid w:val="00703912"/>
    <w:rsid w:val="00705FDD"/>
    <w:rsid w:val="007322CD"/>
    <w:rsid w:val="00732350"/>
    <w:rsid w:val="00746F14"/>
    <w:rsid w:val="00762501"/>
    <w:rsid w:val="007A091E"/>
    <w:rsid w:val="007A4F88"/>
    <w:rsid w:val="007D3F65"/>
    <w:rsid w:val="007D5179"/>
    <w:rsid w:val="007D57E6"/>
    <w:rsid w:val="007E592B"/>
    <w:rsid w:val="0080433C"/>
    <w:rsid w:val="00807A5E"/>
    <w:rsid w:val="008135D6"/>
    <w:rsid w:val="00821367"/>
    <w:rsid w:val="0082763A"/>
    <w:rsid w:val="00875BD2"/>
    <w:rsid w:val="0088555C"/>
    <w:rsid w:val="008B3D8D"/>
    <w:rsid w:val="009355A4"/>
    <w:rsid w:val="00943506"/>
    <w:rsid w:val="009437EA"/>
    <w:rsid w:val="009565BB"/>
    <w:rsid w:val="00961694"/>
    <w:rsid w:val="0096253B"/>
    <w:rsid w:val="00971E5F"/>
    <w:rsid w:val="00997923"/>
    <w:rsid w:val="009B426D"/>
    <w:rsid w:val="009D3399"/>
    <w:rsid w:val="009E57E0"/>
    <w:rsid w:val="009F4445"/>
    <w:rsid w:val="00A16419"/>
    <w:rsid w:val="00A2013D"/>
    <w:rsid w:val="00A30F32"/>
    <w:rsid w:val="00A4681D"/>
    <w:rsid w:val="00A77899"/>
    <w:rsid w:val="00A8088C"/>
    <w:rsid w:val="00A84E3E"/>
    <w:rsid w:val="00A91913"/>
    <w:rsid w:val="00AA453F"/>
    <w:rsid w:val="00AB5187"/>
    <w:rsid w:val="00AB5B15"/>
    <w:rsid w:val="00AC75DB"/>
    <w:rsid w:val="00B01EDC"/>
    <w:rsid w:val="00B130D5"/>
    <w:rsid w:val="00B227C9"/>
    <w:rsid w:val="00B36314"/>
    <w:rsid w:val="00B42397"/>
    <w:rsid w:val="00B524DD"/>
    <w:rsid w:val="00B70320"/>
    <w:rsid w:val="00B81FCE"/>
    <w:rsid w:val="00B823C0"/>
    <w:rsid w:val="00B87370"/>
    <w:rsid w:val="00BA720E"/>
    <w:rsid w:val="00BB144E"/>
    <w:rsid w:val="00BC78F1"/>
    <w:rsid w:val="00BD3508"/>
    <w:rsid w:val="00BD633B"/>
    <w:rsid w:val="00BE5926"/>
    <w:rsid w:val="00BF0511"/>
    <w:rsid w:val="00BF37BD"/>
    <w:rsid w:val="00C048FE"/>
    <w:rsid w:val="00C05979"/>
    <w:rsid w:val="00C20507"/>
    <w:rsid w:val="00C20D64"/>
    <w:rsid w:val="00C30D3D"/>
    <w:rsid w:val="00C316FE"/>
    <w:rsid w:val="00C4065B"/>
    <w:rsid w:val="00C82D8F"/>
    <w:rsid w:val="00CA494D"/>
    <w:rsid w:val="00CB62ED"/>
    <w:rsid w:val="00CC52E1"/>
    <w:rsid w:val="00CE5D9B"/>
    <w:rsid w:val="00D13228"/>
    <w:rsid w:val="00D14DB5"/>
    <w:rsid w:val="00D41FD7"/>
    <w:rsid w:val="00D62565"/>
    <w:rsid w:val="00D63C51"/>
    <w:rsid w:val="00D642CC"/>
    <w:rsid w:val="00D92E3D"/>
    <w:rsid w:val="00D958C0"/>
    <w:rsid w:val="00DA6098"/>
    <w:rsid w:val="00DB1CF8"/>
    <w:rsid w:val="00DE452E"/>
    <w:rsid w:val="00DF0E1F"/>
    <w:rsid w:val="00DF6619"/>
    <w:rsid w:val="00E36BCE"/>
    <w:rsid w:val="00E416EE"/>
    <w:rsid w:val="00E52B20"/>
    <w:rsid w:val="00E70292"/>
    <w:rsid w:val="00E96648"/>
    <w:rsid w:val="00E96D61"/>
    <w:rsid w:val="00EB065A"/>
    <w:rsid w:val="00EB1F7C"/>
    <w:rsid w:val="00EC4AA4"/>
    <w:rsid w:val="00EE1CEF"/>
    <w:rsid w:val="00EF2D00"/>
    <w:rsid w:val="00F014E7"/>
    <w:rsid w:val="00F1095C"/>
    <w:rsid w:val="00F240D5"/>
    <w:rsid w:val="00F35965"/>
    <w:rsid w:val="00F36B23"/>
    <w:rsid w:val="00F434C7"/>
    <w:rsid w:val="00F47F97"/>
    <w:rsid w:val="00F71A86"/>
    <w:rsid w:val="00F805A2"/>
    <w:rsid w:val="00F97F84"/>
    <w:rsid w:val="00FA1FB9"/>
    <w:rsid w:val="00FC76B8"/>
    <w:rsid w:val="00FD290E"/>
    <w:rsid w:val="00FD7A70"/>
    <w:rsid w:val="00FF09CD"/>
    <w:rsid w:val="00FF2666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0C80D-AE3E-4CDF-9E51-DAD338BD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E5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">
    <w:name w:val="نمط1"/>
    <w:basedOn w:val="Normal"/>
    <w:qFormat/>
    <w:rsid w:val="00F35965"/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C406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2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290E"/>
  </w:style>
  <w:style w:type="paragraph" w:styleId="Pieddepage">
    <w:name w:val="footer"/>
    <w:basedOn w:val="Normal"/>
    <w:link w:val="PieddepageCar"/>
    <w:uiPriority w:val="99"/>
    <w:unhideWhenUsed/>
    <w:rsid w:val="00FD2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290E"/>
  </w:style>
  <w:style w:type="table" w:styleId="Grilledutableau">
    <w:name w:val="Table Grid"/>
    <w:basedOn w:val="TableauNormal"/>
    <w:uiPriority w:val="59"/>
    <w:rsid w:val="00410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aliases w:val=" Car Car,Car Car"/>
    <w:basedOn w:val="Normal"/>
    <w:link w:val="NotedebasdepageCar"/>
    <w:unhideWhenUsed/>
    <w:rsid w:val="00762501"/>
    <w:pPr>
      <w:bidi w:val="0"/>
      <w:spacing w:after="0"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aliases w:val=" Car Car Car,Car Car Car"/>
    <w:basedOn w:val="Policepardfaut"/>
    <w:link w:val="Notedebasdepage"/>
    <w:rsid w:val="0076250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تدفق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1578</Words>
  <Characters>8682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 documents</dc:creator>
  <cp:lastModifiedBy>dell</cp:lastModifiedBy>
  <cp:revision>2</cp:revision>
  <dcterms:created xsi:type="dcterms:W3CDTF">2020-04-11T15:11:00Z</dcterms:created>
  <dcterms:modified xsi:type="dcterms:W3CDTF">2020-04-11T15:11:00Z</dcterms:modified>
</cp:coreProperties>
</file>