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65" w:rsidRDefault="00BE3265" w:rsidP="00BE3265">
      <w:pPr>
        <w:bidi/>
        <w:spacing w:after="0"/>
        <w:jc w:val="lowKashida"/>
        <w:rPr>
          <w:rtl/>
          <w:lang w:bidi="ar-DZ"/>
        </w:rPr>
      </w:pPr>
      <w:proofErr w:type="gramStart"/>
      <w:r w:rsidRPr="00E821CD">
        <w:rPr>
          <w:rFonts w:hint="cs"/>
          <w:b/>
          <w:bCs/>
          <w:rtl/>
          <w:lang w:bidi="ar-DZ"/>
        </w:rPr>
        <w:t>تمهيد</w:t>
      </w:r>
      <w:proofErr w:type="gramEnd"/>
      <w:r w:rsidRPr="00E821CD">
        <w:rPr>
          <w:rFonts w:hint="cs"/>
          <w:b/>
          <w:bCs/>
          <w:rtl/>
          <w:lang w:bidi="ar-DZ"/>
        </w:rPr>
        <w:t>:</w:t>
      </w:r>
      <w:r>
        <w:rPr>
          <w:rFonts w:hint="cs"/>
          <w:b/>
          <w:bCs/>
          <w:rtl/>
          <w:lang w:bidi="ar-DZ"/>
        </w:rPr>
        <w:t xml:space="preserve"> </w:t>
      </w:r>
    </w:p>
    <w:p w:rsidR="00BE3265" w:rsidRDefault="00BE3265" w:rsidP="00BE3265">
      <w:pPr>
        <w:bidi/>
        <w:spacing w:after="0"/>
        <w:ind w:firstLine="423"/>
        <w:jc w:val="lowKashida"/>
        <w:rPr>
          <w:rtl/>
          <w:lang w:bidi="ar-DZ"/>
        </w:rPr>
      </w:pPr>
      <w:r>
        <w:rPr>
          <w:rFonts w:hint="cs"/>
          <w:rtl/>
          <w:lang w:bidi="ar-DZ"/>
        </w:rPr>
        <w:t xml:space="preserve">يعتبر نموذج </w:t>
      </w:r>
      <w:r>
        <w:rPr>
          <w:lang w:bidi="ar-DZ"/>
        </w:rPr>
        <w:t>IS-LM</w:t>
      </w:r>
      <w:r>
        <w:rPr>
          <w:rFonts w:hint="cs"/>
          <w:rtl/>
          <w:lang w:bidi="ar-DZ"/>
        </w:rPr>
        <w:t xml:space="preserve"> أحد نماذج تحليل توازن الدخل في جانب الطلب الكلي، ويعزى هذا النموذج إلى الاقتصادي جون </w:t>
      </w:r>
      <w:proofErr w:type="spellStart"/>
      <w:r>
        <w:rPr>
          <w:rFonts w:hint="cs"/>
          <w:rtl/>
          <w:lang w:bidi="ar-DZ"/>
        </w:rPr>
        <w:t>هيكس</w:t>
      </w:r>
      <w:proofErr w:type="spellEnd"/>
      <w:r>
        <w:rPr>
          <w:rFonts w:hint="cs"/>
          <w:rtl/>
          <w:lang w:bidi="ar-DZ"/>
        </w:rPr>
        <w:t xml:space="preserve"> </w:t>
      </w:r>
      <w:r>
        <w:rPr>
          <w:lang w:bidi="ar-DZ"/>
        </w:rPr>
        <w:t>(Hicks)</w:t>
      </w:r>
      <w:r>
        <w:rPr>
          <w:rFonts w:hint="cs"/>
          <w:rtl/>
          <w:lang w:bidi="ar-DZ"/>
        </w:rPr>
        <w:t xml:space="preserve"> الذي نشره عام 1937 كتفسير لنظرية </w:t>
      </w:r>
      <w:proofErr w:type="spellStart"/>
      <w:r>
        <w:rPr>
          <w:rFonts w:hint="cs"/>
          <w:rtl/>
          <w:lang w:bidi="ar-DZ"/>
        </w:rPr>
        <w:t>كينز</w:t>
      </w:r>
      <w:proofErr w:type="spellEnd"/>
      <w:r>
        <w:rPr>
          <w:rFonts w:hint="cs"/>
          <w:rtl/>
          <w:lang w:bidi="ar-DZ"/>
        </w:rPr>
        <w:t xml:space="preserve"> في الطلب الكلي، حيث يعتمد هذا النموذج على الفروض التالية:</w:t>
      </w:r>
    </w:p>
    <w:p w:rsidR="00BE3265" w:rsidRDefault="00BE3265" w:rsidP="00BE3265">
      <w:pPr>
        <w:pStyle w:val="Paragraphedeliste"/>
        <w:numPr>
          <w:ilvl w:val="0"/>
          <w:numId w:val="1"/>
        </w:numPr>
        <w:bidi/>
        <w:spacing w:after="0"/>
        <w:jc w:val="lowKashida"/>
        <w:rPr>
          <w:lang w:bidi="ar-DZ"/>
        </w:rPr>
      </w:pPr>
      <w:r>
        <w:rPr>
          <w:rFonts w:hint="cs"/>
          <w:rtl/>
          <w:lang w:bidi="ar-DZ"/>
        </w:rPr>
        <w:t xml:space="preserve">ثبات أو جمود المستوى العام للأسعار وهو ما يتفق مع منطق المدرسة </w:t>
      </w:r>
      <w:proofErr w:type="spellStart"/>
      <w:r>
        <w:rPr>
          <w:rFonts w:hint="cs"/>
          <w:rtl/>
          <w:lang w:bidi="ar-DZ"/>
        </w:rPr>
        <w:t>الكينزية</w:t>
      </w:r>
      <w:proofErr w:type="spellEnd"/>
      <w:r>
        <w:rPr>
          <w:rFonts w:hint="cs"/>
          <w:rtl/>
          <w:lang w:bidi="ar-DZ"/>
        </w:rPr>
        <w:t>.</w:t>
      </w:r>
    </w:p>
    <w:p w:rsidR="00BE3265" w:rsidRDefault="00BE3265" w:rsidP="00BE3265">
      <w:pPr>
        <w:pStyle w:val="Paragraphedeliste"/>
        <w:numPr>
          <w:ilvl w:val="0"/>
          <w:numId w:val="1"/>
        </w:numPr>
        <w:bidi/>
        <w:spacing w:after="0"/>
        <w:jc w:val="lowKashida"/>
        <w:rPr>
          <w:lang w:bidi="ar-DZ"/>
        </w:rPr>
      </w:pPr>
      <w:r>
        <w:rPr>
          <w:rFonts w:hint="cs"/>
          <w:rtl/>
          <w:lang w:bidi="ar-DZ"/>
        </w:rPr>
        <w:t>هيكل الطلب الكلي يتكون من سوقين رئيسيين:</w:t>
      </w:r>
    </w:p>
    <w:p w:rsidR="00BE3265" w:rsidRDefault="00BE3265" w:rsidP="00BE3265">
      <w:pPr>
        <w:pStyle w:val="Paragraphedeliste"/>
        <w:numPr>
          <w:ilvl w:val="0"/>
          <w:numId w:val="2"/>
        </w:numPr>
        <w:bidi/>
        <w:spacing w:after="0"/>
        <w:jc w:val="lowKashida"/>
        <w:rPr>
          <w:lang w:bidi="ar-DZ"/>
        </w:rPr>
      </w:pPr>
      <w:r>
        <w:rPr>
          <w:rFonts w:hint="cs"/>
          <w:rtl/>
          <w:lang w:bidi="ar-DZ"/>
        </w:rPr>
        <w:t xml:space="preserve">سوق السلع والخدمات: ويعبر عنه منحنى </w:t>
      </w:r>
      <w:r>
        <w:rPr>
          <w:lang w:bidi="ar-DZ"/>
        </w:rPr>
        <w:t>IS</w:t>
      </w:r>
      <w:r>
        <w:rPr>
          <w:rFonts w:hint="cs"/>
          <w:rtl/>
          <w:lang w:bidi="ar-DZ"/>
        </w:rPr>
        <w:t xml:space="preserve"> الذي يصف التوازن في سوق السلع، وكل نقطة عليه تمثل نقطة توازن للدخل في جانب الطلب الكلي عند مستوى معين لسعر الفائدة، وعند نقطة التوازن يتحقق التساوي بين الطلب الكلي للسلع مع العرض من السلع، أو عندما يتساوى الادخار مع الاستثمار، ولهذا المنحنى ميل سالب يعبر عن وجود علاقة عكسية بين الدخل وسعر الفائدة، حيث تعكس العلاقة العكسية بين الدخل وسعر الفائدة العلاقة العكسية بين الاستثمار وسعر الفائدة.</w:t>
      </w:r>
    </w:p>
    <w:p w:rsidR="00BE3265" w:rsidRDefault="00BE3265" w:rsidP="00BE3265">
      <w:pPr>
        <w:pStyle w:val="Paragraphedeliste"/>
        <w:numPr>
          <w:ilvl w:val="0"/>
          <w:numId w:val="2"/>
        </w:numPr>
        <w:bidi/>
        <w:spacing w:after="0"/>
        <w:jc w:val="lowKashida"/>
        <w:rPr>
          <w:lang w:bidi="ar-DZ"/>
        </w:rPr>
      </w:pPr>
      <w:r>
        <w:rPr>
          <w:rFonts w:hint="cs"/>
          <w:rtl/>
          <w:lang w:bidi="ar-DZ"/>
        </w:rPr>
        <w:t xml:space="preserve">سوق النقود ويعبر عنه منحنى </w:t>
      </w:r>
      <w:r>
        <w:rPr>
          <w:lang w:bidi="ar-DZ"/>
        </w:rPr>
        <w:t>LM</w:t>
      </w:r>
      <w:r>
        <w:rPr>
          <w:rFonts w:hint="cs"/>
          <w:rtl/>
          <w:lang w:bidi="ar-DZ"/>
        </w:rPr>
        <w:t xml:space="preserve"> الذي يصف التوازن في سوق النقود عندما يتساوى الطلب على النقود مع عرضها، وكل نقطة عليه تمثل نقطة توازن للدخل عند سعر فائدة معين، ولهذا المنحنى ميل موجب يعبر عن وجود علاقة طردية بين الدخل وسعر الفائدة.</w:t>
      </w:r>
    </w:p>
    <w:p w:rsidR="00BE3265" w:rsidRDefault="00BE3265" w:rsidP="00BE3265">
      <w:pPr>
        <w:pStyle w:val="Paragraphedeliste"/>
        <w:numPr>
          <w:ilvl w:val="0"/>
          <w:numId w:val="1"/>
        </w:numPr>
        <w:bidi/>
        <w:spacing w:after="0"/>
        <w:jc w:val="lowKashida"/>
        <w:rPr>
          <w:lang w:bidi="ar-DZ"/>
        </w:rPr>
      </w:pPr>
      <w:r>
        <w:rPr>
          <w:rFonts w:hint="cs"/>
          <w:rtl/>
          <w:lang w:bidi="ar-DZ"/>
        </w:rPr>
        <w:t xml:space="preserve">التوازن الكلي الذي يتكون من توازن سوق السلع وتوازن سوق النقود، وهذا التوازن يمثل توازنا للدخل في جانب الطلب الكلي، ويعبر عنه بيانيا بالجمع بين منحنى </w:t>
      </w:r>
      <w:r>
        <w:rPr>
          <w:lang w:bidi="ar-DZ"/>
        </w:rPr>
        <w:t>IS</w:t>
      </w:r>
      <w:r>
        <w:rPr>
          <w:rFonts w:hint="cs"/>
          <w:rtl/>
          <w:lang w:bidi="ar-DZ"/>
        </w:rPr>
        <w:t xml:space="preserve"> ومنحنى </w:t>
      </w:r>
      <w:r>
        <w:rPr>
          <w:lang w:bidi="ar-DZ"/>
        </w:rPr>
        <w:t>LM</w:t>
      </w:r>
      <w:r>
        <w:rPr>
          <w:rFonts w:hint="cs"/>
          <w:rtl/>
          <w:lang w:bidi="ar-DZ"/>
        </w:rPr>
        <w:t xml:space="preserve"> وتقاطعهما عند نقطة واحدة تمثل نقطة توازن الدخل في جانب الطلب الكلي عند سعر فائدة معين، فعندما يرتفع سعر الفائدة في سوق النقود فإن حجم الاستثمار ينخفض في سوق السلع ومن ثم ينخفض الطلب الكلي فالدخل التوازني والعكس صحيح.</w:t>
      </w:r>
    </w:p>
    <w:p w:rsidR="00BE3265" w:rsidRDefault="00BE3265" w:rsidP="00BE3265">
      <w:pPr>
        <w:bidi/>
        <w:spacing w:after="0"/>
        <w:jc w:val="lowKashida"/>
        <w:rPr>
          <w:rtl/>
          <w:lang w:bidi="ar-DZ"/>
        </w:rPr>
      </w:pPr>
      <w:r w:rsidRPr="00E36094">
        <w:rPr>
          <w:rFonts w:hint="cs"/>
          <w:b/>
          <w:bCs/>
          <w:rtl/>
          <w:lang w:bidi="ar-DZ"/>
        </w:rPr>
        <w:t xml:space="preserve">أولا- </w:t>
      </w:r>
      <w:r>
        <w:rPr>
          <w:rFonts w:hint="cs"/>
          <w:b/>
          <w:bCs/>
          <w:rtl/>
          <w:lang w:bidi="ar-DZ"/>
        </w:rPr>
        <w:t xml:space="preserve">التوازن في سوق السلع والخدمات واشتقاق منحنى </w:t>
      </w:r>
      <w:r>
        <w:rPr>
          <w:b/>
          <w:bCs/>
          <w:lang w:bidi="ar-DZ"/>
        </w:rPr>
        <w:t>IS</w:t>
      </w:r>
      <w:r>
        <w:rPr>
          <w:rFonts w:hint="cs"/>
          <w:b/>
          <w:bCs/>
          <w:rtl/>
          <w:lang w:bidi="ar-DZ"/>
        </w:rPr>
        <w:t xml:space="preserve"> (منحنى هانس)</w:t>
      </w:r>
    </w:p>
    <w:p w:rsidR="00BE3265" w:rsidRDefault="00BE3265" w:rsidP="00BE3265">
      <w:pPr>
        <w:bidi/>
        <w:spacing w:after="0"/>
        <w:jc w:val="lowKashida"/>
        <w:rPr>
          <w:rtl/>
          <w:lang w:bidi="ar-DZ"/>
        </w:rPr>
      </w:pPr>
      <w:r>
        <w:rPr>
          <w:rFonts w:hint="cs"/>
          <w:rtl/>
          <w:lang w:bidi="ar-DZ"/>
        </w:rPr>
        <w:t xml:space="preserve">   يتضمن سوق السلع مكونات الطلب الكلي على السلع والخدمات والذي يتكون من طلب استهلاكي، استثماري، حكومي وصافي الطلب الخارجي حيث يعتمد هذا النموذج </w:t>
      </w:r>
      <w:proofErr w:type="spellStart"/>
      <w:r>
        <w:rPr>
          <w:rFonts w:hint="cs"/>
          <w:rtl/>
          <w:lang w:bidi="ar-DZ"/>
        </w:rPr>
        <w:t>الكينزي</w:t>
      </w:r>
      <w:proofErr w:type="spellEnd"/>
      <w:r>
        <w:rPr>
          <w:rFonts w:hint="cs"/>
          <w:rtl/>
          <w:lang w:bidi="ar-DZ"/>
        </w:rPr>
        <w:t xml:space="preserve"> على الدخل فقط ولم يأخذ بعين الاعتبار سعر الفائدة وتأثيره على الدخل وهو ما تم توضيحه في الفصل السابق، إلا أن هانس يرى أن سعر الفائدة يؤثر في الاستثمار وبالتالي فإن هذا الأخير يؤثر في الدخل، وعليه لا توجد علاقة دالية </w:t>
      </w:r>
      <w:r>
        <w:rPr>
          <w:rFonts w:hint="cs"/>
          <w:rtl/>
          <w:lang w:bidi="ar-DZ"/>
        </w:rPr>
        <w:lastRenderedPageBreak/>
        <w:t>مباشرة بين مستويات أسعار الفائدة ومستويات الدخل، ومن ثم يمكن صياغة دالة الاستثمار بدلالة سعر الفائدة لأن الاستثمار في النظام الرأسمالي له علاقة عكسية مع سعر الفائدة، فكلما انخفض هذا الأخير زاد الاستثمار والعكس صحيح، وهو ما يبينه الشكل التالي:</w:t>
      </w:r>
    </w:p>
    <w:p w:rsidR="00BE3265" w:rsidRDefault="004D69FE" w:rsidP="00BE3265">
      <w:pPr>
        <w:bidi/>
        <w:spacing w:after="0"/>
        <w:jc w:val="lowKashida"/>
        <w:rPr>
          <w:b/>
          <w:bCs/>
          <w:rtl/>
          <w:lang w:bidi="ar-DZ"/>
        </w:rPr>
      </w:pPr>
      <w:r>
        <w:rPr>
          <w:b/>
          <w:bCs/>
          <w:noProof/>
          <w:rtl/>
          <w:lang w:eastAsia="fr-FR"/>
        </w:rPr>
        <w:pict>
          <v:group id="_x0000_s1026" style="position:absolute;left:0;text-align:left;margin-left:159.3pt;margin-top:19.9pt;width:234.4pt;height:167.45pt;z-index:251660288" coordorigin="4320,3081" coordsize="4688,3349">
            <v:shapetype id="_x0000_t32" coordsize="21600,21600" o:spt="32" o:oned="t" path="m,l21600,21600e" filled="f">
              <v:path arrowok="t" fillok="f" o:connecttype="none"/>
              <o:lock v:ext="edit" shapetype="t"/>
            </v:shapetype>
            <v:shape id="_x0000_s1027" type="#_x0000_t32" style="position:absolute;left:4873;top:6229;width:3700;height:0" o:connectortype="straight">
              <v:stroke endarrow="block"/>
            </v:shape>
            <v:shape id="_x0000_s1028" type="#_x0000_t32" style="position:absolute;left:4873;top:3081;width:0;height:3148;flip:y" o:connectortype="straight">
              <v:stroke endarrow="block"/>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5258;top:3684;width:2528;height:2227;flip:x y"/>
            <v:shapetype id="_x0000_t202" coordsize="21600,21600" o:spt="202" path="m,l,21600r21600,l21600,xe">
              <v:stroke joinstyle="miter"/>
              <v:path gradientshapeok="t" o:connecttype="rect"/>
            </v:shapetype>
            <v:shape id="_x0000_s1030" type="#_x0000_t202" style="position:absolute;left:4320;top:3081;width:435;height:385" stroked="f" strokecolor="blue">
              <v:textbox>
                <w:txbxContent>
                  <w:p w:rsidR="00BE3265" w:rsidRPr="00B86B92" w:rsidRDefault="00BE3265" w:rsidP="00BE3265">
                    <w:pPr>
                      <w:rPr>
                        <w:b/>
                        <w:bCs/>
                        <w:sz w:val="16"/>
                        <w:szCs w:val="16"/>
                      </w:rPr>
                    </w:pPr>
                    <w:r w:rsidRPr="00B86B92">
                      <w:rPr>
                        <w:b/>
                        <w:bCs/>
                        <w:sz w:val="16"/>
                        <w:szCs w:val="16"/>
                      </w:rPr>
                      <w:t>I</w:t>
                    </w:r>
                  </w:p>
                </w:txbxContent>
              </v:textbox>
            </v:shape>
            <v:shape id="_x0000_s1031" type="#_x0000_t202" style="position:absolute;left:8573;top:6045;width:435;height:385" stroked="f" strokecolor="blue">
              <v:textbox>
                <w:txbxContent>
                  <w:p w:rsidR="00BE3265" w:rsidRPr="00B86B92" w:rsidRDefault="00BE3265" w:rsidP="00BE3265">
                    <w:pPr>
                      <w:rPr>
                        <w:b/>
                        <w:bCs/>
                        <w:sz w:val="16"/>
                        <w:szCs w:val="16"/>
                      </w:rPr>
                    </w:pPr>
                    <w:r>
                      <w:rPr>
                        <w:b/>
                        <w:bCs/>
                        <w:sz w:val="16"/>
                        <w:szCs w:val="16"/>
                      </w:rPr>
                      <w:t>i</w:t>
                    </w:r>
                  </w:p>
                </w:txbxContent>
              </v:textbox>
            </v:shape>
            <v:shape id="_x0000_s1032" type="#_x0000_t202" style="position:absolute;left:7925;top:5660;width:648;height:385" stroked="f" strokecolor="blue">
              <v:textbox>
                <w:txbxContent>
                  <w:p w:rsidR="00BE3265" w:rsidRPr="00B86B92" w:rsidRDefault="00BE3265" w:rsidP="00BE3265">
                    <w:pPr>
                      <w:rPr>
                        <w:b/>
                        <w:bCs/>
                        <w:sz w:val="16"/>
                        <w:szCs w:val="16"/>
                      </w:rPr>
                    </w:pPr>
                    <w:r w:rsidRPr="00B86B92">
                      <w:rPr>
                        <w:b/>
                        <w:bCs/>
                        <w:sz w:val="16"/>
                        <w:szCs w:val="16"/>
                      </w:rPr>
                      <w:t>I</w:t>
                    </w:r>
                    <w:r>
                      <w:rPr>
                        <w:b/>
                        <w:bCs/>
                        <w:sz w:val="16"/>
                        <w:szCs w:val="16"/>
                      </w:rPr>
                      <w:t>=f(i)</w:t>
                    </w:r>
                  </w:p>
                </w:txbxContent>
              </v:textbox>
            </v:shape>
          </v:group>
        </w:pict>
      </w:r>
      <w:r w:rsidR="00BE3265" w:rsidRPr="001C6236">
        <w:rPr>
          <w:rFonts w:hint="cs"/>
          <w:b/>
          <w:bCs/>
          <w:rtl/>
          <w:lang w:bidi="ar-DZ"/>
        </w:rPr>
        <w:t xml:space="preserve">شكل رقم 01: منحنى الاستثمار وعلاقته بسعر الفائدة </w:t>
      </w:r>
    </w:p>
    <w:p w:rsidR="00BE3265" w:rsidRDefault="00BE3265" w:rsidP="00BE3265">
      <w:pPr>
        <w:bidi/>
        <w:spacing w:after="0"/>
        <w:jc w:val="lowKashida"/>
        <w:rPr>
          <w:lang w:bidi="ar-DZ"/>
        </w:rPr>
      </w:pPr>
    </w:p>
    <w:p w:rsidR="00BE3265" w:rsidRDefault="00BE3265" w:rsidP="00BE3265">
      <w:pPr>
        <w:bidi/>
        <w:spacing w:after="0"/>
        <w:jc w:val="lowKashida"/>
        <w:rPr>
          <w:lang w:bidi="ar-DZ"/>
        </w:rPr>
      </w:pPr>
    </w:p>
    <w:p w:rsidR="00BE3265" w:rsidRDefault="00BE3265" w:rsidP="00BE3265">
      <w:pPr>
        <w:bidi/>
        <w:spacing w:after="0"/>
        <w:jc w:val="lowKashida"/>
        <w:rPr>
          <w:lang w:bidi="ar-DZ"/>
        </w:rPr>
      </w:pPr>
    </w:p>
    <w:p w:rsidR="00BE3265" w:rsidRDefault="00BE3265" w:rsidP="00BE3265">
      <w:pPr>
        <w:bidi/>
        <w:spacing w:after="0"/>
        <w:jc w:val="lowKashida"/>
        <w:rPr>
          <w:lang w:bidi="ar-DZ"/>
        </w:rPr>
      </w:pPr>
    </w:p>
    <w:p w:rsidR="00BE3265" w:rsidRDefault="00BE3265" w:rsidP="00BE3265">
      <w:pPr>
        <w:bidi/>
        <w:spacing w:after="0"/>
        <w:jc w:val="lowKashida"/>
        <w:rPr>
          <w:lang w:bidi="ar-DZ"/>
        </w:rPr>
      </w:pPr>
    </w:p>
    <w:p w:rsidR="00BE3265" w:rsidRDefault="00BE3265" w:rsidP="00BE3265">
      <w:pPr>
        <w:bidi/>
        <w:spacing w:after="0"/>
        <w:jc w:val="lowKashida"/>
        <w:rPr>
          <w:lang w:bidi="ar-DZ"/>
        </w:rPr>
      </w:pPr>
    </w:p>
    <w:p w:rsidR="00BE3265" w:rsidRDefault="00BE3265" w:rsidP="00BE3265">
      <w:pPr>
        <w:pStyle w:val="Paragraphedeliste"/>
        <w:numPr>
          <w:ilvl w:val="0"/>
          <w:numId w:val="3"/>
        </w:numPr>
        <w:bidi/>
        <w:spacing w:after="0"/>
        <w:jc w:val="lowKashida"/>
        <w:rPr>
          <w:b/>
          <w:bCs/>
          <w:lang w:bidi="ar-DZ"/>
        </w:rPr>
      </w:pPr>
      <w:proofErr w:type="gramStart"/>
      <w:r w:rsidRPr="00B1521F">
        <w:rPr>
          <w:rFonts w:hint="cs"/>
          <w:b/>
          <w:bCs/>
          <w:rtl/>
          <w:lang w:bidi="ar-DZ"/>
        </w:rPr>
        <w:t>ا</w:t>
      </w:r>
      <w:r>
        <w:rPr>
          <w:rFonts w:hint="cs"/>
          <w:b/>
          <w:bCs/>
          <w:rtl/>
          <w:lang w:bidi="ar-DZ"/>
        </w:rPr>
        <w:t>شتقاق</w:t>
      </w:r>
      <w:proofErr w:type="gramEnd"/>
      <w:r>
        <w:rPr>
          <w:rFonts w:hint="cs"/>
          <w:b/>
          <w:bCs/>
          <w:rtl/>
          <w:lang w:bidi="ar-DZ"/>
        </w:rPr>
        <w:t xml:space="preserve"> منحنى </w:t>
      </w:r>
      <w:r>
        <w:rPr>
          <w:b/>
          <w:bCs/>
          <w:lang w:bidi="ar-DZ"/>
        </w:rPr>
        <w:t>IS</w:t>
      </w:r>
      <w:r>
        <w:rPr>
          <w:rFonts w:hint="cs"/>
          <w:b/>
          <w:bCs/>
          <w:rtl/>
          <w:lang w:bidi="ar-DZ"/>
        </w:rPr>
        <w:t xml:space="preserve"> رياضيا:</w:t>
      </w:r>
    </w:p>
    <w:p w:rsidR="00BE3265" w:rsidRDefault="00BE3265" w:rsidP="00BE3265">
      <w:pPr>
        <w:spacing w:after="0"/>
        <w:jc w:val="lowKashida"/>
        <w:rPr>
          <w:rFonts w:eastAsiaTheme="minorEastAsia"/>
          <w:lang w:bidi="ar-DZ"/>
        </w:rPr>
      </w:pPr>
      <m:oMath>
        <m:r>
          <w:rPr>
            <w:rFonts w:ascii="Cambria Math" w:hAnsi="Cambria Math"/>
            <w:lang w:bidi="ar-DZ"/>
          </w:rPr>
          <m:t xml:space="preserve">AS=AD  </m:t>
        </m:r>
      </m:oMath>
      <w:r>
        <w:rPr>
          <w:rFonts w:eastAsiaTheme="minorEastAsia"/>
          <w:lang w:bidi="ar-DZ"/>
        </w:rPr>
        <w:t xml:space="preserve"> </w:t>
      </w:r>
      <m:oMath>
        <m:r>
          <w:rPr>
            <w:rFonts w:ascii="Cambria Math" w:hAnsi="Cambria Math"/>
            <w:lang w:bidi="ar-DZ"/>
          </w:rPr>
          <m:t>→ y=C+I+G+X-M</m:t>
        </m:r>
      </m:oMath>
      <w:r>
        <w:rPr>
          <w:rFonts w:eastAsiaTheme="minorEastAsia"/>
          <w:lang w:bidi="ar-DZ"/>
        </w:rPr>
        <w:t xml:space="preserve"> </w:t>
      </w:r>
    </w:p>
    <w:p w:rsidR="00BE3265" w:rsidRDefault="00BE3265" w:rsidP="00BE3265">
      <w:pPr>
        <w:spacing w:after="0"/>
        <w:jc w:val="lowKashida"/>
        <w:rPr>
          <w:rFonts w:eastAsiaTheme="minorEastAsia"/>
          <w:lang w:bidi="ar-DZ"/>
        </w:rPr>
      </w:pPr>
      <m:oMath>
        <m:r>
          <w:rPr>
            <w:rFonts w:ascii="Cambria Math" w:hAnsi="Cambria Math"/>
            <w:lang w:bidi="ar-DZ"/>
          </w:rPr>
          <m:t>c=</m:t>
        </m:r>
        <m:sSub>
          <m:sSubPr>
            <m:ctrlPr>
              <w:rPr>
                <w:rFonts w:ascii="Cambria Math" w:hAnsi="Cambria Math"/>
                <w:i/>
                <w:lang w:bidi="ar-DZ"/>
              </w:rPr>
            </m:ctrlPr>
          </m:sSubPr>
          <m:e>
            <m:r>
              <w:rPr>
                <w:rFonts w:ascii="Cambria Math" w:hAnsi="Cambria Math"/>
                <w:lang w:bidi="ar-DZ"/>
              </w:rPr>
              <m:t>c</m:t>
            </m:r>
          </m:e>
          <m:sub>
            <m:r>
              <w:rPr>
                <w:rFonts w:ascii="Cambria Math" w:hAnsi="Cambria Math"/>
                <w:lang w:bidi="ar-DZ"/>
              </w:rPr>
              <m:t>0</m:t>
            </m:r>
          </m:sub>
        </m:sSub>
        <m:r>
          <w:rPr>
            <w:rFonts w:ascii="Cambria Math" w:hAnsi="Cambria Math"/>
            <w:lang w:bidi="ar-DZ"/>
          </w:rPr>
          <m:t>+a</m:t>
        </m:r>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oMath>
      <w:r>
        <w:rPr>
          <w:rFonts w:eastAsiaTheme="minorEastAsia"/>
          <w:lang w:bidi="ar-DZ"/>
        </w:rPr>
        <w:t xml:space="preserve"> ,      </w:t>
      </w:r>
      <m:oMath>
        <m:sSub>
          <m:sSubPr>
            <m:ctrlPr>
              <w:rPr>
                <w:rFonts w:ascii="Cambria Math" w:hAnsi="Cambria Math"/>
                <w:i/>
                <w:lang w:bidi="ar-DZ"/>
              </w:rPr>
            </m:ctrlPr>
          </m:sSubPr>
          <m:e>
            <m:r>
              <w:rPr>
                <w:rFonts w:ascii="Cambria Math" w:hAnsi="Cambria Math"/>
                <w:lang w:bidi="ar-DZ"/>
              </w:rPr>
              <m:t>y</m:t>
            </m:r>
          </m:e>
          <m:sub>
            <m:r>
              <w:rPr>
                <w:rFonts w:ascii="Cambria Math" w:hAnsi="Cambria Math"/>
                <w:lang w:bidi="ar-DZ"/>
              </w:rPr>
              <m:t>d</m:t>
            </m:r>
          </m:sub>
        </m:sSub>
        <m:r>
          <w:rPr>
            <w:rFonts w:ascii="Cambria Math" w:hAnsi="Cambria Math"/>
            <w:lang w:bidi="ar-DZ"/>
          </w:rPr>
          <m:t>=y-T+R</m:t>
        </m:r>
      </m:oMath>
      <w:r>
        <w:rPr>
          <w:rFonts w:eastAsiaTheme="minorEastAsia"/>
          <w:lang w:bidi="ar-DZ"/>
        </w:rPr>
        <w:t xml:space="preserve">  </w:t>
      </w:r>
    </w:p>
    <w:p w:rsidR="00BE3265" w:rsidRDefault="00BE3265" w:rsidP="00BE3265">
      <w:pPr>
        <w:spacing w:after="0"/>
        <w:jc w:val="lowKashida"/>
        <w:rPr>
          <w:rFonts w:eastAsiaTheme="minorEastAsia"/>
          <w:lang w:bidi="ar-DZ"/>
        </w:rPr>
      </w:pPr>
      <m:oMath>
        <m:r>
          <w:rPr>
            <w:rFonts w:ascii="Cambria Math" w:hAnsi="Cambria Math"/>
            <w:lang w:bidi="ar-DZ"/>
          </w:rPr>
          <m:t>T=</m:t>
        </m:r>
        <m:sSub>
          <m:sSubPr>
            <m:ctrlPr>
              <w:rPr>
                <w:rFonts w:ascii="Cambria Math" w:hAnsi="Cambria Math"/>
                <w:i/>
                <w:lang w:bidi="ar-DZ"/>
              </w:rPr>
            </m:ctrlPr>
          </m:sSubPr>
          <m:e>
            <m:r>
              <w:rPr>
                <w:rFonts w:ascii="Cambria Math" w:hAnsi="Cambria Math"/>
                <w:lang w:bidi="ar-DZ"/>
              </w:rPr>
              <m:t>T</m:t>
            </m:r>
          </m:e>
          <m:sub>
            <m:r>
              <w:rPr>
                <w:rFonts w:ascii="Cambria Math" w:hAnsi="Cambria Math"/>
                <w:lang w:bidi="ar-DZ"/>
              </w:rPr>
              <m:t>0</m:t>
            </m:r>
          </m:sub>
        </m:sSub>
        <m:r>
          <w:rPr>
            <w:rFonts w:ascii="Cambria Math" w:hAnsi="Cambria Math"/>
            <w:lang w:bidi="ar-DZ"/>
          </w:rPr>
          <m:t>+ty</m:t>
        </m:r>
      </m:oMath>
      <w:r>
        <w:rPr>
          <w:rFonts w:eastAsiaTheme="minorEastAsia"/>
          <w:lang w:bidi="ar-DZ"/>
        </w:rPr>
        <w:t xml:space="preserve"> ,     </w:t>
      </w:r>
      <m:oMath>
        <m:r>
          <w:rPr>
            <w:rFonts w:ascii="Cambria Math" w:hAnsi="Cambria Math"/>
            <w:lang w:bidi="ar-DZ"/>
          </w:rPr>
          <m:t>R=</m:t>
        </m:r>
        <m:sSub>
          <m:sSubPr>
            <m:ctrlPr>
              <w:rPr>
                <w:rFonts w:ascii="Cambria Math" w:hAnsi="Cambria Math"/>
                <w:i/>
                <w:lang w:bidi="ar-DZ"/>
              </w:rPr>
            </m:ctrlPr>
          </m:sSubPr>
          <m:e>
            <m:r>
              <w:rPr>
                <w:rFonts w:ascii="Cambria Math" w:hAnsi="Cambria Math"/>
                <w:lang w:bidi="ar-DZ"/>
              </w:rPr>
              <m:t>R</m:t>
            </m:r>
          </m:e>
          <m:sub>
            <m:r>
              <w:rPr>
                <w:rFonts w:ascii="Cambria Math" w:hAnsi="Cambria Math"/>
                <w:lang w:bidi="ar-DZ"/>
              </w:rPr>
              <m:t>0</m:t>
            </m:r>
          </m:sub>
        </m:sSub>
      </m:oMath>
      <w:r>
        <w:rPr>
          <w:rFonts w:eastAsiaTheme="minorEastAsia"/>
          <w:lang w:bidi="ar-DZ"/>
        </w:rPr>
        <w:t xml:space="preserve"> </w:t>
      </w:r>
    </w:p>
    <w:p w:rsidR="00BE3265" w:rsidRDefault="00BE3265" w:rsidP="00BE3265">
      <w:pPr>
        <w:spacing w:after="0"/>
        <w:jc w:val="lowKashida"/>
        <w:rPr>
          <w:rFonts w:eastAsiaTheme="minorEastAsia"/>
          <w:lang w:bidi="ar-DZ"/>
        </w:rPr>
      </w:pPr>
      <m:oMath>
        <m:r>
          <w:rPr>
            <w:rFonts w:ascii="Cambria Math" w:hAnsi="Cambria Math"/>
            <w:lang w:bidi="ar-DZ"/>
          </w:rPr>
          <m:t>I=</m:t>
        </m:r>
        <m:sSub>
          <m:sSubPr>
            <m:ctrlPr>
              <w:rPr>
                <w:rFonts w:ascii="Cambria Math" w:hAnsi="Cambria Math"/>
                <w:i/>
                <w:lang w:bidi="ar-DZ"/>
              </w:rPr>
            </m:ctrlPr>
          </m:sSubPr>
          <m:e>
            <m:r>
              <w:rPr>
                <w:rFonts w:ascii="Cambria Math" w:hAnsi="Cambria Math"/>
                <w:lang w:bidi="ar-DZ"/>
              </w:rPr>
              <m:t>I</m:t>
            </m:r>
          </m:e>
          <m:sub>
            <m:r>
              <w:rPr>
                <w:rFonts w:ascii="Cambria Math" w:hAnsi="Cambria Math"/>
                <w:lang w:bidi="ar-DZ"/>
              </w:rPr>
              <m:t>0</m:t>
            </m:r>
          </m:sub>
        </m:sSub>
        <m:r>
          <w:rPr>
            <w:rFonts w:ascii="Cambria Math" w:hAnsi="Cambria Math"/>
            <w:lang w:bidi="ar-DZ"/>
          </w:rPr>
          <m:t>-μi</m:t>
        </m:r>
      </m:oMath>
      <w:r>
        <w:rPr>
          <w:rFonts w:eastAsiaTheme="minorEastAsia"/>
          <w:lang w:bidi="ar-DZ"/>
        </w:rPr>
        <w:t xml:space="preserve"> </w:t>
      </w:r>
    </w:p>
    <w:p w:rsidR="00BE3265" w:rsidRPr="0048740C" w:rsidRDefault="00BE3265" w:rsidP="00BE3265">
      <w:pPr>
        <w:spacing w:after="0"/>
        <w:jc w:val="lowKashida"/>
        <w:rPr>
          <w:rFonts w:eastAsiaTheme="minorEastAsia"/>
          <w:lang w:val="en-US" w:bidi="ar-DZ"/>
        </w:rPr>
      </w:pPr>
      <m:oMath>
        <m:r>
          <w:rPr>
            <w:rFonts w:ascii="Cambria Math" w:hAnsi="Cambria Math"/>
            <w:lang w:bidi="ar-DZ"/>
          </w:rPr>
          <m:t>G</m:t>
        </m:r>
        <m:r>
          <w:rPr>
            <w:rFonts w:ascii="Cambria Math" w:hAnsi="Cambria Math"/>
            <w:lang w:val="en-US" w:bidi="ar-DZ"/>
          </w:rPr>
          <m:t>=</m:t>
        </m:r>
        <m:sSub>
          <m:sSubPr>
            <m:ctrlPr>
              <w:rPr>
                <w:rFonts w:ascii="Cambria Math" w:hAnsi="Cambria Math"/>
                <w:i/>
                <w:lang w:bidi="ar-DZ"/>
              </w:rPr>
            </m:ctrlPr>
          </m:sSubPr>
          <m:e>
            <m:r>
              <w:rPr>
                <w:rFonts w:ascii="Cambria Math" w:hAnsi="Cambria Math"/>
                <w:lang w:bidi="ar-DZ"/>
              </w:rPr>
              <m:t>G</m:t>
            </m:r>
          </m:e>
          <m:sub>
            <m:r>
              <w:rPr>
                <w:rFonts w:ascii="Cambria Math" w:hAnsi="Cambria Math"/>
                <w:lang w:val="en-US" w:bidi="ar-DZ"/>
              </w:rPr>
              <m:t>0</m:t>
            </m:r>
          </m:sub>
        </m:sSub>
        <m:r>
          <w:rPr>
            <w:rFonts w:ascii="Cambria Math" w:hAnsi="Cambria Math"/>
            <w:lang w:val="en-US" w:bidi="ar-DZ"/>
          </w:rPr>
          <m:t xml:space="preserve"> ,      </m:t>
        </m:r>
        <m:r>
          <w:rPr>
            <w:rFonts w:ascii="Cambria Math" w:hAnsi="Cambria Math"/>
            <w:lang w:bidi="ar-DZ"/>
          </w:rPr>
          <m:t>X</m:t>
        </m:r>
        <m:r>
          <w:rPr>
            <w:rFonts w:ascii="Cambria Math" w:hAnsi="Cambria Math"/>
            <w:lang w:val="en-US" w:bidi="ar-DZ"/>
          </w:rPr>
          <m:t>=</m:t>
        </m:r>
        <m:sSub>
          <m:sSubPr>
            <m:ctrlPr>
              <w:rPr>
                <w:rFonts w:ascii="Cambria Math" w:hAnsi="Cambria Math"/>
                <w:i/>
                <w:lang w:bidi="ar-DZ"/>
              </w:rPr>
            </m:ctrlPr>
          </m:sSubPr>
          <m:e>
            <m:r>
              <w:rPr>
                <w:rFonts w:ascii="Cambria Math" w:hAnsi="Cambria Math"/>
                <w:lang w:bidi="ar-DZ"/>
              </w:rPr>
              <m:t>X</m:t>
            </m:r>
          </m:e>
          <m:sub>
            <m:r>
              <w:rPr>
                <w:rFonts w:ascii="Cambria Math" w:hAnsi="Cambria Math"/>
                <w:lang w:val="en-US" w:bidi="ar-DZ"/>
              </w:rPr>
              <m:t>0</m:t>
            </m:r>
          </m:sub>
        </m:sSub>
        <m:r>
          <w:rPr>
            <w:rFonts w:ascii="Cambria Math" w:hAnsi="Cambria Math"/>
            <w:lang w:val="en-US" w:bidi="ar-DZ"/>
          </w:rPr>
          <m:t xml:space="preserve">  </m:t>
        </m:r>
      </m:oMath>
      <w:r w:rsidRPr="0048740C">
        <w:rPr>
          <w:rFonts w:eastAsiaTheme="minorEastAsia"/>
          <w:lang w:val="en-US" w:bidi="ar-DZ"/>
        </w:rPr>
        <w:t xml:space="preserve"> </w:t>
      </w:r>
    </w:p>
    <w:p w:rsidR="00BE3265" w:rsidRPr="0048740C" w:rsidRDefault="00BE3265" w:rsidP="00BE3265">
      <w:pPr>
        <w:spacing w:after="0"/>
        <w:jc w:val="lowKashida"/>
        <w:rPr>
          <w:rFonts w:eastAsiaTheme="minorEastAsia"/>
          <w:lang w:val="en-US" w:bidi="ar-DZ"/>
        </w:rPr>
      </w:pPr>
      <m:oMath>
        <m:r>
          <w:rPr>
            <w:rFonts w:ascii="Cambria Math" w:hAnsi="Cambria Math"/>
            <w:lang w:bidi="ar-DZ"/>
          </w:rPr>
          <m:t>M</m:t>
        </m:r>
        <m:r>
          <w:rPr>
            <w:rFonts w:ascii="Cambria Math" w:hAnsi="Cambria Math"/>
            <w:lang w:val="en-US" w:bidi="ar-DZ"/>
          </w:rPr>
          <m:t>=</m:t>
        </m:r>
        <m:sSub>
          <m:sSubPr>
            <m:ctrlPr>
              <w:rPr>
                <w:rFonts w:ascii="Cambria Math" w:hAnsi="Cambria Math"/>
                <w:i/>
                <w:lang w:bidi="ar-DZ"/>
              </w:rPr>
            </m:ctrlPr>
          </m:sSubPr>
          <m:e>
            <m:r>
              <w:rPr>
                <w:rFonts w:ascii="Cambria Math" w:hAnsi="Cambria Math"/>
                <w:lang w:bidi="ar-DZ"/>
              </w:rPr>
              <m:t>M</m:t>
            </m:r>
          </m:e>
          <m:sub>
            <m:r>
              <w:rPr>
                <w:rFonts w:ascii="Cambria Math" w:hAnsi="Cambria Math"/>
                <w:lang w:val="en-US" w:bidi="ar-DZ"/>
              </w:rPr>
              <m:t>0</m:t>
            </m:r>
          </m:sub>
        </m:sSub>
        <m:r>
          <w:rPr>
            <w:rFonts w:ascii="Cambria Math" w:hAnsi="Cambria Math"/>
            <w:lang w:val="en-US" w:bidi="ar-DZ"/>
          </w:rPr>
          <m:t>+</m:t>
        </m:r>
        <m:r>
          <w:rPr>
            <w:rFonts w:ascii="Cambria Math" w:hAnsi="Cambria Math"/>
            <w:lang w:bidi="ar-DZ"/>
          </w:rPr>
          <m:t>my</m:t>
        </m:r>
      </m:oMath>
      <w:r w:rsidRPr="0048740C">
        <w:rPr>
          <w:rFonts w:eastAsiaTheme="minorEastAsia"/>
          <w:lang w:val="en-US" w:bidi="ar-DZ"/>
        </w:rPr>
        <w:t xml:space="preserve"> </w:t>
      </w:r>
    </w:p>
    <w:p w:rsidR="00BE3265" w:rsidRPr="0048740C" w:rsidRDefault="00BE3265" w:rsidP="00551817">
      <w:pPr>
        <w:spacing w:after="0"/>
        <w:jc w:val="lowKashida"/>
        <w:rPr>
          <w:rFonts w:eastAsiaTheme="minorEastAsia"/>
          <w:lang w:val="en-US" w:bidi="ar-DZ"/>
        </w:rPr>
      </w:pPr>
      <m:oMathPara>
        <m:oMath>
          <m:r>
            <w:rPr>
              <w:rFonts w:ascii="Cambria Math" w:hAnsi="Cambria Math"/>
              <w:lang w:val="en-US" w:bidi="ar-DZ"/>
            </w:rPr>
            <m:t>→</m:t>
          </m:r>
          <m:r>
            <w:rPr>
              <w:rFonts w:ascii="Cambria Math" w:hAnsi="Cambria Math"/>
              <w:lang w:bidi="ar-DZ"/>
            </w:rPr>
            <m:t>IS</m:t>
          </m:r>
          <m:r>
            <w:rPr>
              <w:rFonts w:ascii="Cambria Math" w:hAnsi="Cambria Math"/>
              <w:lang w:val="en-US" w:bidi="ar-DZ"/>
            </w:rPr>
            <m:t xml:space="preserve">⋮  </m:t>
          </m:r>
          <m:r>
            <w:rPr>
              <w:rFonts w:ascii="Cambria Math" w:hAnsi="Cambria Math"/>
              <w:lang w:bidi="ar-DZ"/>
            </w:rPr>
            <m:t>y</m:t>
          </m:r>
          <m:r>
            <w:rPr>
              <w:rFonts w:ascii="Cambria Math" w:hAnsi="Cambria Math"/>
              <w:lang w:val="en-US" w:bidi="ar-DZ"/>
            </w:rPr>
            <m:t>=</m:t>
          </m:r>
          <m:f>
            <m:fPr>
              <m:ctrlPr>
                <w:rPr>
                  <w:rFonts w:ascii="Cambria Math" w:hAnsi="Cambria Math"/>
                  <w:i/>
                  <w:lang w:bidi="ar-DZ"/>
                </w:rPr>
              </m:ctrlPr>
            </m:fPr>
            <m:num>
              <m:r>
                <w:rPr>
                  <w:rFonts w:ascii="Cambria Math" w:hAnsi="Cambria Math"/>
                  <w:lang w:val="en-US" w:bidi="ar-DZ"/>
                </w:rPr>
                <m:t>1</m:t>
              </m:r>
            </m:num>
            <m:den>
              <m:d>
                <m:dPr>
                  <m:ctrlPr>
                    <w:rPr>
                      <w:rFonts w:ascii="Cambria Math" w:hAnsi="Cambria Math"/>
                      <w:i/>
                      <w:lang w:bidi="ar-DZ"/>
                    </w:rPr>
                  </m:ctrlPr>
                </m:dPr>
                <m:e>
                  <m:r>
                    <w:rPr>
                      <w:rFonts w:ascii="Cambria Math" w:hAnsi="Cambria Math"/>
                      <w:lang w:val="en-US" w:bidi="ar-DZ"/>
                    </w:rPr>
                    <m:t>1-</m:t>
                  </m:r>
                  <m:r>
                    <w:rPr>
                      <w:rFonts w:ascii="Cambria Math" w:hAnsi="Cambria Math"/>
                      <w:lang w:bidi="ar-DZ"/>
                    </w:rPr>
                    <m:t>a</m:t>
                  </m:r>
                  <m:r>
                    <w:rPr>
                      <w:rFonts w:ascii="Cambria Math" w:hAnsi="Cambria Math"/>
                      <w:lang w:val="en-US" w:bidi="ar-DZ"/>
                    </w:rPr>
                    <m:t>+</m:t>
                  </m:r>
                  <m:r>
                    <w:rPr>
                      <w:rFonts w:ascii="Cambria Math" w:hAnsi="Cambria Math"/>
                      <w:lang w:bidi="ar-DZ"/>
                    </w:rPr>
                    <m:t>at</m:t>
                  </m:r>
                  <m:r>
                    <w:rPr>
                      <w:rFonts w:ascii="Cambria Math" w:hAnsi="Cambria Math"/>
                      <w:lang w:val="en-US" w:bidi="ar-DZ"/>
                    </w:rPr>
                    <m:t>+</m:t>
                  </m:r>
                  <m:r>
                    <w:rPr>
                      <w:rFonts w:ascii="Cambria Math" w:hAnsi="Cambria Math"/>
                      <w:lang w:bidi="ar-DZ"/>
                    </w:rPr>
                    <m:t>m</m:t>
                  </m:r>
                </m:e>
              </m:d>
            </m:den>
          </m:f>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c</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a</m:t>
              </m:r>
              <m:r>
                <w:rPr>
                  <w:rFonts w:ascii="Cambria Math" w:eastAsiaTheme="minorEastAsia" w:hAnsi="Cambria Math"/>
                  <w:lang w:val="en-US" w:bidi="ar-DZ"/>
                </w:rPr>
                <m:t>T</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a</m:t>
              </m:r>
              <m:r>
                <w:rPr>
                  <w:rFonts w:ascii="Cambria Math" w:eastAsiaTheme="minorEastAsia" w:hAnsi="Cambria Math"/>
                  <w:lang w:val="en-US" w:bidi="ar-DZ"/>
                </w:rPr>
                <m:t>R</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I</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G</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X</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M</m:t>
              </m:r>
            </m:e>
            <m:sub>
              <m:r>
                <w:rPr>
                  <w:rFonts w:ascii="Cambria Math" w:eastAsiaTheme="minorEastAsia" w:hAnsi="Cambria Math"/>
                  <w:lang w:val="en-US" w:bidi="ar-DZ"/>
                </w:rPr>
                <m:t>0</m:t>
              </m:r>
            </m:sub>
          </m:sSub>
          <m:r>
            <w:rPr>
              <w:rFonts w:ascii="Cambria Math" w:eastAsiaTheme="minorEastAsia" w:hAnsi="Cambria Math"/>
              <w:lang w:val="en-US" w:bidi="ar-DZ"/>
            </w:rPr>
            <m:t>-</m:t>
          </m:r>
          <m:r>
            <w:rPr>
              <w:rFonts w:ascii="Cambria Math" w:eastAsiaTheme="minorEastAsia" w:hAnsi="Cambria Math" w:cs="Times New Roman"/>
              <w:lang w:bidi="ar-DZ"/>
            </w:rPr>
            <m:t>μ</m:t>
          </m:r>
          <m:r>
            <w:rPr>
              <w:rFonts w:ascii="Cambria Math" w:eastAsiaTheme="minorEastAsia" w:hAnsi="Cambria Math"/>
              <w:lang w:val="en-US" w:bidi="ar-DZ"/>
            </w:rPr>
            <m:t>i)</m:t>
          </m:r>
        </m:oMath>
      </m:oMathPara>
    </w:p>
    <w:p w:rsidR="00BE3265" w:rsidRDefault="00BE3265" w:rsidP="00BE3265">
      <w:pPr>
        <w:bidi/>
        <w:spacing w:after="0"/>
        <w:ind w:left="707"/>
        <w:jc w:val="lowKashida"/>
        <w:rPr>
          <w:rFonts w:eastAsiaTheme="minorEastAsia"/>
          <w:rtl/>
          <w:lang w:bidi="ar-DZ"/>
        </w:rPr>
      </w:pPr>
      <w:proofErr w:type="gramStart"/>
      <w:r>
        <w:rPr>
          <w:rFonts w:eastAsiaTheme="minorEastAsia" w:hint="cs"/>
          <w:rtl/>
          <w:lang w:bidi="ar-DZ"/>
        </w:rPr>
        <w:t>حيث :</w:t>
      </w:r>
      <w:proofErr w:type="gramEnd"/>
      <w:r>
        <w:rPr>
          <w:rFonts w:eastAsiaTheme="minorEastAsia" w:hint="cs"/>
          <w:rtl/>
          <w:lang w:bidi="ar-DZ"/>
        </w:rPr>
        <w:t xml:space="preserve"> يمكن التعبير عن مجموع القيم </w:t>
      </w:r>
      <m:oMath>
        <m:sSub>
          <m:sSubPr>
            <m:ctrlPr>
              <w:rPr>
                <w:rFonts w:ascii="Cambria Math" w:eastAsiaTheme="minorEastAsia" w:hAnsi="Cambria Math"/>
                <w:i/>
                <w:lang w:val="en-US" w:bidi="ar-DZ"/>
              </w:rPr>
            </m:ctrlPr>
          </m:sSubPr>
          <m:e>
            <m:r>
              <w:rPr>
                <w:rFonts w:ascii="Cambria Math" w:eastAsiaTheme="minorEastAsia" w:hAnsi="Cambria Math"/>
                <w:lang w:val="en-US" w:bidi="ar-DZ"/>
              </w:rPr>
              <m:t>c</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bT</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bR</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I</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G</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X</m:t>
            </m:r>
          </m:e>
          <m:sub>
            <m:r>
              <w:rPr>
                <w:rFonts w:ascii="Cambria Math" w:eastAsiaTheme="minorEastAsia" w:hAnsi="Cambria Math"/>
                <w:lang w:val="en-US" w:bidi="ar-DZ"/>
              </w:rPr>
              <m:t>0</m:t>
            </m:r>
          </m:sub>
        </m:sSub>
        <m:r>
          <w:rPr>
            <w:rFonts w:ascii="Cambria Math" w:eastAsiaTheme="minorEastAsia" w:hAnsi="Cambria Math"/>
            <w:lang w:val="en-US" w:bidi="ar-DZ"/>
          </w:rPr>
          <m:t>-</m:t>
        </m:r>
        <m:sSub>
          <m:sSubPr>
            <m:ctrlPr>
              <w:rPr>
                <w:rFonts w:ascii="Cambria Math" w:eastAsiaTheme="minorEastAsia" w:hAnsi="Cambria Math"/>
                <w:i/>
                <w:lang w:val="en-US" w:bidi="ar-DZ"/>
              </w:rPr>
            </m:ctrlPr>
          </m:sSubPr>
          <m:e>
            <m:r>
              <w:rPr>
                <w:rFonts w:ascii="Cambria Math" w:eastAsiaTheme="minorEastAsia" w:hAnsi="Cambria Math"/>
                <w:lang w:val="en-US" w:bidi="ar-DZ"/>
              </w:rPr>
              <m:t>M</m:t>
            </m:r>
          </m:e>
          <m:sub>
            <m:r>
              <w:rPr>
                <w:rFonts w:ascii="Cambria Math" w:eastAsiaTheme="minorEastAsia" w:hAnsi="Cambria Math"/>
                <w:lang w:val="en-US" w:bidi="ar-DZ"/>
              </w:rPr>
              <m:t>0</m:t>
            </m:r>
          </m:sub>
        </m:sSub>
      </m:oMath>
      <w:r>
        <w:rPr>
          <w:rFonts w:eastAsiaTheme="minorEastAsia" w:hint="cs"/>
          <w:rtl/>
          <w:lang w:bidi="ar-DZ"/>
        </w:rPr>
        <w:t xml:space="preserve"> بـ </w:t>
      </w:r>
      <m:oMath>
        <m:sSub>
          <m:sSubPr>
            <m:ctrlPr>
              <w:rPr>
                <w:rFonts w:ascii="Cambria Math" w:hAnsi="Cambria Math"/>
                <w:i/>
                <w:lang w:bidi="ar-DZ"/>
              </w:rPr>
            </m:ctrlPr>
          </m:sSubPr>
          <m:e>
            <m:r>
              <w:rPr>
                <w:rFonts w:ascii="Cambria Math" w:hAnsi="Cambria Math"/>
                <w:lang w:bidi="ar-DZ"/>
              </w:rPr>
              <m:t>A</m:t>
            </m:r>
          </m:e>
          <m:sub>
            <m:r>
              <w:rPr>
                <w:rFonts w:ascii="Cambria Math" w:hAnsi="Cambria Math"/>
                <w:lang w:bidi="ar-DZ"/>
              </w:rPr>
              <m:t>0</m:t>
            </m:r>
          </m:sub>
        </m:sSub>
      </m:oMath>
      <w:r>
        <w:rPr>
          <w:rFonts w:eastAsiaTheme="minorEastAsia" w:hint="cs"/>
          <w:rtl/>
          <w:lang w:bidi="ar-DZ"/>
        </w:rPr>
        <w:t xml:space="preserve"> ومنه نعيد كتابة عبارة </w:t>
      </w:r>
      <m:oMath>
        <m:r>
          <w:rPr>
            <w:rFonts w:ascii="Cambria Math" w:hAnsi="Cambria Math"/>
            <w:lang w:bidi="ar-DZ"/>
          </w:rPr>
          <m:t>IS</m:t>
        </m:r>
      </m:oMath>
      <w:r>
        <w:rPr>
          <w:rFonts w:eastAsiaTheme="minorEastAsia" w:hint="cs"/>
          <w:rtl/>
          <w:lang w:bidi="ar-DZ"/>
        </w:rPr>
        <w:t xml:space="preserve"> كما يلي:</w:t>
      </w:r>
    </w:p>
    <w:p w:rsidR="00BE3265" w:rsidRPr="00F70C1B" w:rsidRDefault="00BE3265" w:rsidP="00BE3265">
      <w:pPr>
        <w:spacing w:after="0"/>
        <w:jc w:val="lowKashida"/>
        <w:rPr>
          <w:rFonts w:eastAsiaTheme="minorEastAsia"/>
          <w:lang w:bidi="ar-DZ"/>
        </w:rPr>
      </w:pPr>
      <m:oMath>
        <m:r>
          <w:rPr>
            <w:rFonts w:ascii="Cambria Math" w:hAnsi="Cambria Math"/>
            <w:lang w:bidi="ar-DZ"/>
          </w:rPr>
          <m:t>IS⋮  y=</m:t>
        </m:r>
        <m:f>
          <m:fPr>
            <m:ctrlPr>
              <w:rPr>
                <w:rFonts w:ascii="Cambria Math" w:hAnsi="Cambria Math"/>
                <w:i/>
                <w:lang w:bidi="ar-DZ"/>
              </w:rPr>
            </m:ctrlPr>
          </m:fPr>
          <m:num>
            <m:r>
              <w:rPr>
                <w:rFonts w:ascii="Cambria Math" w:hAnsi="Cambria Math"/>
                <w:lang w:bidi="ar-DZ"/>
              </w:rPr>
              <m:t>1</m:t>
            </m:r>
          </m:num>
          <m:den>
            <m:d>
              <m:dPr>
                <m:ctrlPr>
                  <w:rPr>
                    <w:rFonts w:ascii="Cambria Math" w:hAnsi="Cambria Math"/>
                    <w:i/>
                    <w:lang w:bidi="ar-DZ"/>
                  </w:rPr>
                </m:ctrlPr>
              </m:dPr>
              <m:e>
                <m:r>
                  <w:rPr>
                    <w:rFonts w:ascii="Cambria Math" w:hAnsi="Cambria Math"/>
                    <w:lang w:bidi="ar-DZ"/>
                  </w:rPr>
                  <m:t>1-a+at+m</m:t>
                </m:r>
              </m:e>
            </m:d>
          </m:den>
        </m:f>
        <m:d>
          <m:dPr>
            <m:ctrlPr>
              <w:rPr>
                <w:rFonts w:ascii="Cambria Math" w:hAnsi="Cambria Math"/>
                <w:i/>
                <w:lang w:bidi="ar-DZ"/>
              </w:rPr>
            </m:ctrlPr>
          </m:dPr>
          <m:e>
            <m:sSub>
              <m:sSubPr>
                <m:ctrlPr>
                  <w:rPr>
                    <w:rFonts w:ascii="Cambria Math" w:hAnsi="Cambria Math"/>
                    <w:i/>
                    <w:lang w:bidi="ar-DZ"/>
                  </w:rPr>
                </m:ctrlPr>
              </m:sSubPr>
              <m:e>
                <m:r>
                  <w:rPr>
                    <w:rFonts w:ascii="Cambria Math" w:hAnsi="Cambria Math"/>
                    <w:lang w:bidi="ar-DZ"/>
                  </w:rPr>
                  <m:t>A</m:t>
                </m:r>
              </m:e>
              <m:sub>
                <m:r>
                  <w:rPr>
                    <w:rFonts w:ascii="Cambria Math" w:hAnsi="Cambria Math"/>
                    <w:lang w:bidi="ar-DZ"/>
                  </w:rPr>
                  <m:t>0</m:t>
                </m:r>
              </m:sub>
            </m:sSub>
            <m:r>
              <w:rPr>
                <w:rFonts w:ascii="Cambria Math" w:hAnsi="Cambria Math"/>
                <w:lang w:bidi="ar-DZ"/>
              </w:rPr>
              <m:t>-μi</m:t>
            </m:r>
          </m:e>
        </m:d>
        <m:r>
          <w:rPr>
            <w:rFonts w:ascii="Cambria Math" w:eastAsiaTheme="minorEastAsia" w:hAnsi="Cambria Math"/>
            <w:lang w:bidi="ar-DZ"/>
          </w:rPr>
          <m:t xml:space="preserve">         →          </m:t>
        </m:r>
        <m:r>
          <w:rPr>
            <w:rFonts w:ascii="Cambria Math" w:hAnsi="Cambria Math"/>
            <w:lang w:bidi="ar-DZ"/>
          </w:rPr>
          <m:t>IS⋮</m:t>
        </m:r>
        <m:r>
          <w:rPr>
            <w:rFonts w:ascii="Cambria Math" w:eastAsiaTheme="minorEastAsia" w:hAnsi="Cambria Math"/>
            <w:lang w:bidi="ar-DZ"/>
          </w:rPr>
          <m:t xml:space="preserve">   y=</m:t>
        </m:r>
        <m:sSub>
          <m:sSubPr>
            <m:ctrlPr>
              <w:rPr>
                <w:rFonts w:ascii="Cambria Math" w:eastAsiaTheme="minorEastAsia" w:hAnsi="Cambria Math"/>
                <w:i/>
                <w:lang w:bidi="ar-DZ"/>
              </w:rPr>
            </m:ctrlPr>
          </m:sSubPr>
          <m:e>
            <m:r>
              <w:rPr>
                <w:rFonts w:ascii="Cambria Math" w:eastAsiaTheme="minorEastAsia" w:hAnsi="Cambria Math"/>
                <w:lang w:bidi="ar-DZ"/>
              </w:rPr>
              <m:t>k</m:t>
            </m:r>
          </m:e>
          <m:sub>
            <m:r>
              <w:rPr>
                <w:rFonts w:ascii="Cambria Math" w:eastAsiaTheme="minorEastAsia" w:hAnsi="Cambria Math"/>
                <w:lang w:bidi="ar-DZ"/>
              </w:rPr>
              <m:t>e</m:t>
            </m:r>
          </m:sub>
        </m:sSub>
        <m:sSub>
          <m:sSubPr>
            <m:ctrlPr>
              <w:rPr>
                <w:rFonts w:ascii="Cambria Math" w:hAnsi="Cambria Math"/>
                <w:i/>
                <w:lang w:bidi="ar-DZ"/>
              </w:rPr>
            </m:ctrlPr>
          </m:sSubPr>
          <m:e>
            <m:r>
              <w:rPr>
                <w:rFonts w:ascii="Cambria Math" w:hAnsi="Cambria Math"/>
                <w:lang w:bidi="ar-DZ"/>
              </w:rPr>
              <m:t>A</m:t>
            </m:r>
          </m:e>
          <m:sub>
            <m:r>
              <w:rPr>
                <w:rFonts w:ascii="Cambria Math" w:hAnsi="Cambria Math"/>
                <w:lang w:bidi="ar-DZ"/>
              </w:rPr>
              <m:t>0</m:t>
            </m:r>
          </m:sub>
        </m:sSub>
        <m:r>
          <w:rPr>
            <w:rFonts w:ascii="Cambria Math" w:hAnsi="Cambria Math"/>
            <w:lang w:bidi="ar-DZ"/>
          </w:rPr>
          <m:t>-</m:t>
        </m:r>
        <m:sSub>
          <m:sSubPr>
            <m:ctrlPr>
              <w:rPr>
                <w:rFonts w:ascii="Cambria Math" w:eastAsiaTheme="minorEastAsia" w:hAnsi="Cambria Math"/>
                <w:i/>
                <w:lang w:bidi="ar-DZ"/>
              </w:rPr>
            </m:ctrlPr>
          </m:sSubPr>
          <m:e>
            <m:r>
              <w:rPr>
                <w:rFonts w:ascii="Cambria Math" w:eastAsiaTheme="minorEastAsia" w:hAnsi="Cambria Math"/>
                <w:lang w:bidi="ar-DZ"/>
              </w:rPr>
              <m:t>k</m:t>
            </m:r>
          </m:e>
          <m:sub>
            <m:r>
              <w:rPr>
                <w:rFonts w:ascii="Cambria Math" w:eastAsiaTheme="minorEastAsia" w:hAnsi="Cambria Math"/>
                <w:lang w:bidi="ar-DZ"/>
              </w:rPr>
              <m:t>e</m:t>
            </m:r>
          </m:sub>
        </m:sSub>
        <m:r>
          <w:rPr>
            <w:rFonts w:ascii="Cambria Math" w:hAnsi="Cambria Math"/>
            <w:lang w:bidi="ar-DZ"/>
          </w:rPr>
          <m:t>μi</m:t>
        </m:r>
      </m:oMath>
      <w:r>
        <w:rPr>
          <w:rFonts w:eastAsiaTheme="minorEastAsia"/>
          <w:i/>
          <w:lang w:bidi="ar-DZ"/>
        </w:rPr>
        <w:t xml:space="preserve"> </w:t>
      </w:r>
    </w:p>
    <w:p w:rsidR="00BE3265" w:rsidRDefault="00BE3265" w:rsidP="00BE3265">
      <w:pPr>
        <w:bidi/>
        <w:spacing w:after="0"/>
        <w:ind w:left="707"/>
        <w:jc w:val="lowKashida"/>
        <w:rPr>
          <w:rFonts w:eastAsiaTheme="minorEastAsia"/>
          <w:rtl/>
          <w:lang w:bidi="ar-DZ"/>
        </w:rPr>
      </w:pPr>
      <w:proofErr w:type="gramStart"/>
      <w:r>
        <w:rPr>
          <w:rFonts w:eastAsiaTheme="minorEastAsia" w:hint="cs"/>
          <w:rtl/>
          <w:lang w:bidi="ar-DZ"/>
        </w:rPr>
        <w:t>ومنه</w:t>
      </w:r>
      <w:proofErr w:type="gramEnd"/>
      <w:r>
        <w:rPr>
          <w:rFonts w:eastAsiaTheme="minorEastAsia" w:hint="cs"/>
          <w:rtl/>
          <w:lang w:bidi="ar-DZ"/>
        </w:rPr>
        <w:t xml:space="preserve"> يتبين أن معادلة </w:t>
      </w:r>
      <m:oMath>
        <m:r>
          <w:rPr>
            <w:rFonts w:ascii="Cambria Math" w:hAnsi="Cambria Math"/>
            <w:lang w:bidi="ar-DZ"/>
          </w:rPr>
          <m:t>IS</m:t>
        </m:r>
      </m:oMath>
      <w:r>
        <w:rPr>
          <w:rFonts w:eastAsiaTheme="minorEastAsia" w:hint="cs"/>
          <w:rtl/>
          <w:lang w:bidi="ar-DZ"/>
        </w:rPr>
        <w:t xml:space="preserve"> تصف توازن سوق السلع، حيث يرتبط الدخل </w:t>
      </w:r>
      <w:r>
        <w:rPr>
          <w:rFonts w:eastAsiaTheme="minorEastAsia"/>
          <w:lang w:bidi="ar-DZ"/>
        </w:rPr>
        <w:t>y</w:t>
      </w:r>
      <w:r>
        <w:rPr>
          <w:rFonts w:eastAsiaTheme="minorEastAsia" w:hint="cs"/>
          <w:rtl/>
          <w:lang w:bidi="ar-DZ"/>
        </w:rPr>
        <w:t xml:space="preserve"> بعلاقة سالبة مع سعر الفائدة </w:t>
      </w:r>
      <w:r>
        <w:rPr>
          <w:rFonts w:eastAsiaTheme="minorEastAsia"/>
          <w:lang w:bidi="ar-DZ"/>
        </w:rPr>
        <w:t>i</w:t>
      </w:r>
      <w:r>
        <w:rPr>
          <w:rFonts w:eastAsiaTheme="minorEastAsia" w:hint="cs"/>
          <w:rtl/>
          <w:lang w:bidi="ar-DZ"/>
        </w:rPr>
        <w:t xml:space="preserve">، ولمنحنى </w:t>
      </w:r>
      <m:oMath>
        <m:r>
          <w:rPr>
            <w:rFonts w:ascii="Cambria Math" w:hAnsi="Cambria Math"/>
            <w:lang w:bidi="ar-DZ"/>
          </w:rPr>
          <m:t>IS</m:t>
        </m:r>
      </m:oMath>
      <w:r>
        <w:rPr>
          <w:rFonts w:eastAsiaTheme="minorEastAsia" w:hint="cs"/>
          <w:rtl/>
          <w:lang w:bidi="ar-DZ"/>
        </w:rPr>
        <w:t xml:space="preserve"> ميل سالب وهو ما يفسر العلاقة العكسية الموجودة بين الدخل وسعر الفائدة في سوق السلع والخدمات.</w:t>
      </w:r>
    </w:p>
    <w:p w:rsidR="00BE3265" w:rsidRDefault="00BE3265" w:rsidP="00BE3265">
      <w:pPr>
        <w:pStyle w:val="Paragraphedeliste"/>
        <w:numPr>
          <w:ilvl w:val="0"/>
          <w:numId w:val="3"/>
        </w:numPr>
        <w:bidi/>
        <w:spacing w:after="0"/>
        <w:jc w:val="lowKashida"/>
        <w:rPr>
          <w:rFonts w:eastAsiaTheme="minorEastAsia"/>
          <w:b/>
          <w:bCs/>
          <w:lang w:bidi="ar-DZ"/>
        </w:rPr>
      </w:pPr>
      <w:proofErr w:type="gramStart"/>
      <w:r w:rsidRPr="00453599">
        <w:rPr>
          <w:rFonts w:eastAsiaTheme="minorEastAsia" w:hint="cs"/>
          <w:b/>
          <w:bCs/>
          <w:rtl/>
          <w:lang w:bidi="ar-DZ"/>
        </w:rPr>
        <w:t>اشتقاق</w:t>
      </w:r>
      <w:proofErr w:type="gramEnd"/>
      <w:r w:rsidRPr="00453599">
        <w:rPr>
          <w:rFonts w:eastAsiaTheme="minorEastAsia" w:hint="cs"/>
          <w:b/>
          <w:bCs/>
          <w:rtl/>
          <w:lang w:bidi="ar-DZ"/>
        </w:rPr>
        <w:t xml:space="preserve"> منحنى </w:t>
      </w:r>
      <w:r w:rsidRPr="00453599">
        <w:rPr>
          <w:rFonts w:eastAsiaTheme="minorEastAsia"/>
          <w:b/>
          <w:bCs/>
          <w:lang w:bidi="ar-DZ"/>
        </w:rPr>
        <w:t>IS</w:t>
      </w:r>
      <w:r w:rsidRPr="00453599">
        <w:rPr>
          <w:rFonts w:eastAsiaTheme="minorEastAsia" w:hint="cs"/>
          <w:b/>
          <w:bCs/>
          <w:rtl/>
          <w:lang w:bidi="ar-DZ"/>
        </w:rPr>
        <w:t xml:space="preserve"> بيانيا:</w:t>
      </w:r>
    </w:p>
    <w:p w:rsidR="00BE3265" w:rsidRDefault="00BE3265" w:rsidP="00BE3265">
      <w:pPr>
        <w:pStyle w:val="Paragraphedeliste"/>
        <w:bidi/>
        <w:spacing w:after="0"/>
        <w:jc w:val="lowKashida"/>
        <w:rPr>
          <w:rFonts w:eastAsiaTheme="minorEastAsia"/>
          <w:rtl/>
          <w:lang w:bidi="ar-DZ"/>
        </w:rPr>
      </w:pPr>
      <w:proofErr w:type="gramStart"/>
      <w:r>
        <w:rPr>
          <w:rFonts w:eastAsiaTheme="minorEastAsia" w:hint="cs"/>
          <w:rtl/>
          <w:lang w:bidi="ar-DZ"/>
        </w:rPr>
        <w:t>نقطة</w:t>
      </w:r>
      <w:proofErr w:type="gramEnd"/>
      <w:r>
        <w:rPr>
          <w:rFonts w:eastAsiaTheme="minorEastAsia" w:hint="cs"/>
          <w:rtl/>
          <w:lang w:bidi="ar-DZ"/>
        </w:rPr>
        <w:t xml:space="preserve"> البداية في اشتقاق منحنى </w:t>
      </w:r>
      <w:r>
        <w:rPr>
          <w:rFonts w:eastAsiaTheme="minorEastAsia"/>
          <w:lang w:bidi="ar-DZ"/>
        </w:rPr>
        <w:t>IS</w:t>
      </w:r>
      <w:r>
        <w:rPr>
          <w:rFonts w:eastAsiaTheme="minorEastAsia" w:hint="cs"/>
          <w:rtl/>
          <w:lang w:bidi="ar-DZ"/>
        </w:rPr>
        <w:t xml:space="preserve"> هي متابعة ما يحدث لمستويات الاستثمار عندما يتغير سعر الفائدة (</w:t>
      </w:r>
      <w:r>
        <w:rPr>
          <w:rFonts w:eastAsiaTheme="minorEastAsia"/>
          <w:lang w:bidi="ar-DZ"/>
        </w:rPr>
        <w:t>i</w:t>
      </w:r>
      <w:r>
        <w:rPr>
          <w:rFonts w:eastAsiaTheme="minorEastAsia" w:hint="cs"/>
          <w:rtl/>
          <w:lang w:bidi="ar-DZ"/>
        </w:rPr>
        <w:t>) الذي يرتبط بعلاقة عكسية مع الاستثمار.</w:t>
      </w:r>
    </w:p>
    <w:p w:rsidR="00BE3265" w:rsidRDefault="00BE3265" w:rsidP="00BE3265">
      <w:pPr>
        <w:pStyle w:val="Paragraphedeliste"/>
        <w:bidi/>
        <w:spacing w:after="0"/>
        <w:jc w:val="lowKashida"/>
        <w:rPr>
          <w:rFonts w:eastAsiaTheme="minorEastAsia"/>
          <w:b/>
          <w:bCs/>
          <w:lang w:bidi="ar-DZ"/>
        </w:rPr>
      </w:pPr>
    </w:p>
    <w:p w:rsidR="00BE3265" w:rsidRDefault="00BE3265" w:rsidP="00BE3265">
      <w:pPr>
        <w:pStyle w:val="Paragraphedeliste"/>
        <w:bidi/>
        <w:spacing w:after="0"/>
        <w:jc w:val="lowKashida"/>
        <w:rPr>
          <w:rFonts w:eastAsiaTheme="minorEastAsia"/>
          <w:b/>
          <w:bCs/>
          <w:lang w:bidi="ar-DZ"/>
        </w:rPr>
      </w:pPr>
    </w:p>
    <w:p w:rsidR="00BE3265" w:rsidRPr="001D3903" w:rsidRDefault="00BE3265" w:rsidP="00BE3265">
      <w:pPr>
        <w:pStyle w:val="Paragraphedeliste"/>
        <w:bidi/>
        <w:spacing w:after="0"/>
        <w:jc w:val="lowKashida"/>
        <w:rPr>
          <w:rFonts w:eastAsiaTheme="minorEastAsia"/>
          <w:b/>
          <w:bCs/>
          <w:rtl/>
          <w:lang w:bidi="ar-DZ"/>
        </w:rPr>
      </w:pPr>
      <w:r>
        <w:rPr>
          <w:rFonts w:eastAsiaTheme="minorEastAsia" w:hint="cs"/>
          <w:b/>
          <w:bCs/>
          <w:rtl/>
          <w:lang w:bidi="ar-DZ"/>
        </w:rPr>
        <w:t xml:space="preserve">شكل رقم 02: </w:t>
      </w:r>
      <w:proofErr w:type="gramStart"/>
      <w:r>
        <w:rPr>
          <w:rFonts w:eastAsiaTheme="minorEastAsia" w:hint="cs"/>
          <w:b/>
          <w:bCs/>
          <w:rtl/>
          <w:lang w:bidi="ar-DZ"/>
        </w:rPr>
        <w:t>اشتقاق</w:t>
      </w:r>
      <w:proofErr w:type="gramEnd"/>
      <w:r>
        <w:rPr>
          <w:rFonts w:eastAsiaTheme="minorEastAsia" w:hint="cs"/>
          <w:b/>
          <w:bCs/>
          <w:rtl/>
          <w:lang w:bidi="ar-DZ"/>
        </w:rPr>
        <w:t xml:space="preserve"> منحنى </w:t>
      </w:r>
      <w:r>
        <w:rPr>
          <w:rFonts w:eastAsiaTheme="minorEastAsia"/>
          <w:b/>
          <w:bCs/>
          <w:lang w:bidi="ar-DZ"/>
        </w:rPr>
        <w:t>IS</w:t>
      </w:r>
    </w:p>
    <w:p w:rsidR="00BE3265" w:rsidRDefault="004D69FE" w:rsidP="00BE3265">
      <w:pPr>
        <w:pStyle w:val="Paragraphedeliste"/>
        <w:bidi/>
        <w:spacing w:after="0"/>
        <w:jc w:val="lowKashida"/>
        <w:rPr>
          <w:rFonts w:eastAsiaTheme="minorEastAsia"/>
          <w:rtl/>
          <w:lang w:bidi="ar-DZ"/>
        </w:rPr>
      </w:pPr>
      <w:r>
        <w:rPr>
          <w:rFonts w:eastAsiaTheme="minorEastAsia"/>
          <w:noProof/>
          <w:rtl/>
          <w:lang w:eastAsia="fr-FR"/>
        </w:rPr>
        <w:pict>
          <v:group id="_x0000_s1033" style="position:absolute;left:0;text-align:left;margin-left:19.5pt;margin-top:12.55pt;width:423.6pt;height:353.3pt;z-index:251661312" coordorigin="1524,3265" coordsize="8472,7066">
            <v:shape id="_x0000_s1034" type="#_x0000_t32" style="position:absolute;left:6547;top:6246;width:3064;height:0" o:connectortype="straight">
              <v:stroke endarrow="block"/>
            </v:shape>
            <v:shape id="_x0000_s1035" type="#_x0000_t32" style="position:absolute;left:6547;top:3349;width:0;height:2897;flip:y" o:connectortype="straight">
              <v:stroke endarrow="block"/>
            </v:shape>
            <v:shape id="_x0000_s1036" type="#_x0000_t32" style="position:absolute;left:6547;top:9762;width:3064;height:0" o:connectortype="straight">
              <v:stroke endarrow="block"/>
            </v:shape>
            <v:shape id="_x0000_s1037" type="#_x0000_t32" style="position:absolute;left:6547;top:6865;width:0;height:2897;flip:y" o:connectortype="straight">
              <v:stroke endarrow="block"/>
            </v:shape>
            <v:shape id="_x0000_s1038" type="#_x0000_t32" style="position:absolute;left:2166;top:6246;width:3064;height:0" o:connectortype="straight">
              <v:stroke endarrow="block"/>
            </v:shape>
            <v:shape id="_x0000_s1039" type="#_x0000_t32" style="position:absolute;left:2166;top:3349;width:0;height:2897;flip:y" o:connectortype="straight">
              <v:stroke endarrow="block"/>
            </v:shape>
            <v:shape id="_x0000_s1040" type="#_x0000_t32" style="position:absolute;left:2166;top:9846;width:3064;height:0" o:connectortype="straight">
              <v:stroke endarrow="block"/>
            </v:shape>
            <v:shape id="_x0000_s1041" type="#_x0000_t32" style="position:absolute;left:2166;top:6949;width:0;height:2897;flip:y" o:connectortype="straight">
              <v:stroke endarrow="block"/>
            </v:shape>
            <v:shape id="_x0000_s1042" type="#_x0000_t32" style="position:absolute;left:6547;top:3650;width:2026;height:2596;flip:y" o:connectortype="straight"/>
            <v:shape id="_x0000_s1043" type="#_x0000_t32" style="position:absolute;left:2166;top:5124;width:5268;height:0" o:connectortype="straight" strokeweight="1.5pt">
              <v:stroke dashstyle="1 1"/>
            </v:shape>
            <v:shape id="_x0000_s1044" type="#_x0000_t32" style="position:absolute;left:2166;top:4437;width:5804;height:0" o:connectortype="straight" strokeweight="1.5pt">
              <v:stroke dashstyle="1 1"/>
            </v:shape>
            <v:shape id="_x0000_s1045" type="#_x0000_t32" style="position:absolute;left:7434;top:5124;width:0;height:4638" o:connectortype="straight" strokeweight="1.5pt">
              <v:stroke dashstyle="1 1"/>
            </v:shape>
            <v:shape id="_x0000_s1046" type="#_x0000_t32" style="position:absolute;left:7970;top:4437;width:0;height:5325" o:connectortype="straight" strokeweight="1.5pt">
              <v:stroke dashstyle="1 1"/>
            </v:shape>
            <v:shape id="_x0000_s1047" type="#_x0000_t32" style="position:absolute;left:2166;top:3734;width:2321;height:2763;flip:y" o:connectortype="straight"/>
            <v:shape id="_x0000_s1048" type="#_x0000_t32" style="position:absolute;left:3315;top:5124;width:0;height:4722" o:connectortype="straight" strokeweight="1.5pt">
              <v:stroke dashstyle="1 1"/>
            </v:shape>
            <v:shape id="_x0000_s1049" type="#_x0000_t32" style="position:absolute;left:3901;top:4437;width:0;height:5409" o:connectortype="straight" strokeweight="1.5pt">
              <v:stroke dashstyle="1 1"/>
            </v:shape>
            <v:shape id="_x0000_s1050" type="#_x0000_t32" style="position:absolute;left:6848;top:7619;width:1725;height:1841" o:connectortype="straight"/>
            <v:shape id="_x0000_s1051" type="#_x0000_t32" style="position:absolute;left:2166;top:8272;width:5268;height:0;flip:x" o:connectortype="straight" strokeweight="1.5pt">
              <v:stroke dashstyle="1 1"/>
            </v:shape>
            <v:shape id="_x0000_s1052" type="#_x0000_t32" style="position:absolute;left:2166;top:8874;width:5804;height:0;flip:x" o:connectortype="straight">
              <v:stroke dashstyle="1 1"/>
            </v:shape>
            <v:shape id="_x0000_s1053" type="#_x0000_t32" style="position:absolute;left:2696;top:7619;width:1791;height:1841" o:connectortype="straight"/>
            <v:shape id="_x0000_s1054" type="#_x0000_t202" style="position:absolute;left:1641;top:3265;width:385;height:385" stroked="f">
              <v:textbox style="mso-next-textbox:#_x0000_s1054">
                <w:txbxContent>
                  <w:p w:rsidR="00BE3265" w:rsidRPr="00495CF3" w:rsidRDefault="00BE3265" w:rsidP="00BE3265">
                    <w:pPr>
                      <w:rPr>
                        <w:b/>
                        <w:bCs/>
                        <w:sz w:val="16"/>
                        <w:szCs w:val="16"/>
                      </w:rPr>
                    </w:pPr>
                    <w:r>
                      <w:rPr>
                        <w:b/>
                        <w:bCs/>
                        <w:sz w:val="16"/>
                        <w:szCs w:val="16"/>
                      </w:rPr>
                      <w:t>S</w:t>
                    </w:r>
                  </w:p>
                </w:txbxContent>
              </v:textbox>
            </v:shape>
            <v:shape id="_x0000_s1055" type="#_x0000_t202" style="position:absolute;left:5230;top:6011;width:385;height:385" stroked="f">
              <v:textbox style="mso-next-textbox:#_x0000_s1055">
                <w:txbxContent>
                  <w:p w:rsidR="00BE3265" w:rsidRPr="00495CF3" w:rsidRDefault="00BE3265" w:rsidP="00BE3265">
                    <w:pPr>
                      <w:rPr>
                        <w:b/>
                        <w:bCs/>
                        <w:sz w:val="16"/>
                        <w:szCs w:val="16"/>
                      </w:rPr>
                    </w:pPr>
                    <w:r>
                      <w:rPr>
                        <w:b/>
                        <w:bCs/>
                        <w:sz w:val="16"/>
                        <w:szCs w:val="16"/>
                      </w:rPr>
                      <w:t>Y</w:t>
                    </w:r>
                  </w:p>
                </w:txbxContent>
              </v:textbox>
            </v:shape>
            <v:shape id="_x0000_s1056" type="#_x0000_t202" style="position:absolute;left:6061;top:3349;width:385;height:385" stroked="f">
              <v:textbox style="mso-next-textbox:#_x0000_s1056">
                <w:txbxContent>
                  <w:p w:rsidR="00BE3265" w:rsidRPr="00495CF3" w:rsidRDefault="00BE3265" w:rsidP="00BE3265">
                    <w:pPr>
                      <w:rPr>
                        <w:b/>
                        <w:bCs/>
                        <w:sz w:val="16"/>
                        <w:szCs w:val="16"/>
                      </w:rPr>
                    </w:pPr>
                    <w:r>
                      <w:rPr>
                        <w:b/>
                        <w:bCs/>
                        <w:sz w:val="16"/>
                        <w:szCs w:val="16"/>
                      </w:rPr>
                      <w:t>S</w:t>
                    </w:r>
                  </w:p>
                </w:txbxContent>
              </v:textbox>
            </v:shape>
            <v:shape id="_x0000_s1057" type="#_x0000_t202" style="position:absolute;left:9611;top:6011;width:385;height:385" stroked="f">
              <v:textbox style="mso-next-textbox:#_x0000_s1057">
                <w:txbxContent>
                  <w:p w:rsidR="00BE3265" w:rsidRPr="00495CF3" w:rsidRDefault="00BE3265" w:rsidP="00BE3265">
                    <w:pPr>
                      <w:rPr>
                        <w:b/>
                        <w:bCs/>
                        <w:sz w:val="16"/>
                        <w:szCs w:val="16"/>
                      </w:rPr>
                    </w:pPr>
                    <w:r>
                      <w:rPr>
                        <w:b/>
                        <w:bCs/>
                        <w:sz w:val="16"/>
                        <w:szCs w:val="16"/>
                      </w:rPr>
                      <w:t>I</w:t>
                    </w:r>
                  </w:p>
                </w:txbxContent>
              </v:textbox>
            </v:shape>
            <v:shape id="_x0000_s1058" type="#_x0000_t202" style="position:absolute;left:9611;top:9561;width:385;height:385" stroked="f">
              <v:textbox style="mso-next-textbox:#_x0000_s1058">
                <w:txbxContent>
                  <w:p w:rsidR="00BE3265" w:rsidRPr="00495CF3" w:rsidRDefault="00BE3265" w:rsidP="00BE3265">
                    <w:pPr>
                      <w:rPr>
                        <w:b/>
                        <w:bCs/>
                        <w:sz w:val="16"/>
                        <w:szCs w:val="16"/>
                      </w:rPr>
                    </w:pPr>
                    <w:r>
                      <w:rPr>
                        <w:b/>
                        <w:bCs/>
                        <w:sz w:val="16"/>
                        <w:szCs w:val="16"/>
                      </w:rPr>
                      <w:t>I</w:t>
                    </w:r>
                  </w:p>
                </w:txbxContent>
              </v:textbox>
            </v:shape>
            <v:shape id="_x0000_s1059" type="#_x0000_t202" style="position:absolute;left:6061;top:6748;width:385;height:385" stroked="f">
              <v:textbox style="mso-next-textbox:#_x0000_s1059">
                <w:txbxContent>
                  <w:p w:rsidR="00BE3265" w:rsidRPr="00495CF3" w:rsidRDefault="00BE3265" w:rsidP="00BE3265">
                    <w:pPr>
                      <w:rPr>
                        <w:b/>
                        <w:bCs/>
                        <w:sz w:val="16"/>
                        <w:szCs w:val="16"/>
                      </w:rPr>
                    </w:pPr>
                    <w:r>
                      <w:rPr>
                        <w:b/>
                        <w:bCs/>
                        <w:sz w:val="16"/>
                        <w:szCs w:val="16"/>
                      </w:rPr>
                      <w:t>i</w:t>
                    </w:r>
                  </w:p>
                </w:txbxContent>
              </v:textbox>
            </v:shape>
            <v:shape id="_x0000_s1060" type="#_x0000_t202" style="position:absolute;left:5230;top:9561;width:385;height:385" stroked="f">
              <v:textbox style="mso-next-textbox:#_x0000_s1060">
                <w:txbxContent>
                  <w:p w:rsidR="00BE3265" w:rsidRPr="00495CF3" w:rsidRDefault="00BE3265" w:rsidP="00BE3265">
                    <w:pPr>
                      <w:rPr>
                        <w:b/>
                        <w:bCs/>
                        <w:sz w:val="16"/>
                        <w:szCs w:val="16"/>
                      </w:rPr>
                    </w:pPr>
                    <w:r>
                      <w:rPr>
                        <w:b/>
                        <w:bCs/>
                        <w:sz w:val="16"/>
                        <w:szCs w:val="16"/>
                      </w:rPr>
                      <w:t>Y</w:t>
                    </w:r>
                  </w:p>
                </w:txbxContent>
              </v:textbox>
            </v:shape>
            <v:shape id="_x0000_s1061" type="#_x0000_t202" style="position:absolute;left:1641;top:6865;width:385;height:385" stroked="f">
              <v:textbox style="mso-next-textbox:#_x0000_s1061">
                <w:txbxContent>
                  <w:p w:rsidR="00BE3265" w:rsidRPr="00495CF3" w:rsidRDefault="00BE3265" w:rsidP="00BE3265">
                    <w:pPr>
                      <w:rPr>
                        <w:b/>
                        <w:bCs/>
                        <w:sz w:val="16"/>
                        <w:szCs w:val="16"/>
                      </w:rPr>
                    </w:pPr>
                    <w:r>
                      <w:rPr>
                        <w:b/>
                        <w:bCs/>
                        <w:sz w:val="16"/>
                        <w:szCs w:val="16"/>
                      </w:rPr>
                      <w:t>i</w:t>
                    </w:r>
                  </w:p>
                </w:txbxContent>
              </v:textbox>
            </v:shape>
            <v:shape id="_x0000_s1062" type="#_x0000_t202" style="position:absolute;left:1524;top:4203;width:502;height:385" stroked="f">
              <v:textbox style="mso-next-textbox:#_x0000_s1062">
                <w:txbxContent>
                  <w:p w:rsidR="00BE3265" w:rsidRPr="007245CC" w:rsidRDefault="00BE3265" w:rsidP="00BE3265">
                    <w:pPr>
                      <w:rPr>
                        <w:b/>
                        <w:bCs/>
                        <w:sz w:val="16"/>
                        <w:szCs w:val="16"/>
                        <w:vertAlign w:val="subscript"/>
                      </w:rPr>
                    </w:pPr>
                    <w:r>
                      <w:rPr>
                        <w:b/>
                        <w:bCs/>
                        <w:sz w:val="16"/>
                        <w:szCs w:val="16"/>
                      </w:rPr>
                      <w:t>S</w:t>
                    </w:r>
                    <w:r>
                      <w:rPr>
                        <w:b/>
                        <w:bCs/>
                        <w:sz w:val="16"/>
                        <w:szCs w:val="16"/>
                        <w:vertAlign w:val="subscript"/>
                      </w:rPr>
                      <w:t>1</w:t>
                    </w:r>
                  </w:p>
                </w:txbxContent>
              </v:textbox>
            </v:shape>
            <v:shape id="_x0000_s1063" type="#_x0000_t202" style="position:absolute;left:1524;top:4828;width:502;height:385" stroked="f">
              <v:textbox style="mso-next-textbox:#_x0000_s1063">
                <w:txbxContent>
                  <w:p w:rsidR="00BE3265" w:rsidRPr="007245CC" w:rsidRDefault="00BE3265" w:rsidP="00BE3265">
                    <w:pPr>
                      <w:rPr>
                        <w:b/>
                        <w:bCs/>
                        <w:sz w:val="16"/>
                        <w:szCs w:val="16"/>
                        <w:vertAlign w:val="subscript"/>
                      </w:rPr>
                    </w:pPr>
                    <w:r>
                      <w:rPr>
                        <w:b/>
                        <w:bCs/>
                        <w:sz w:val="16"/>
                        <w:szCs w:val="16"/>
                      </w:rPr>
                      <w:t>S</w:t>
                    </w:r>
                    <w:r>
                      <w:rPr>
                        <w:b/>
                        <w:bCs/>
                        <w:sz w:val="16"/>
                        <w:szCs w:val="16"/>
                        <w:vertAlign w:val="subscript"/>
                      </w:rPr>
                      <w:t>2</w:t>
                    </w:r>
                  </w:p>
                </w:txbxContent>
              </v:textbox>
            </v:shape>
            <v:shape id="_x0000_s1064" type="#_x0000_t202" style="position:absolute;left:7122;top:9846;width:502;height:385" stroked="f">
              <v:textbox style="mso-next-textbox:#_x0000_s1064">
                <w:txbxContent>
                  <w:p w:rsidR="00BE3265" w:rsidRPr="007245CC" w:rsidRDefault="00BE3265" w:rsidP="00BE3265">
                    <w:pPr>
                      <w:rPr>
                        <w:b/>
                        <w:bCs/>
                        <w:sz w:val="16"/>
                        <w:szCs w:val="16"/>
                        <w:vertAlign w:val="subscript"/>
                      </w:rPr>
                    </w:pPr>
                    <w:r>
                      <w:rPr>
                        <w:b/>
                        <w:bCs/>
                        <w:sz w:val="16"/>
                        <w:szCs w:val="16"/>
                      </w:rPr>
                      <w:t>I</w:t>
                    </w:r>
                    <w:r>
                      <w:rPr>
                        <w:b/>
                        <w:bCs/>
                        <w:sz w:val="16"/>
                        <w:szCs w:val="16"/>
                        <w:vertAlign w:val="subscript"/>
                      </w:rPr>
                      <w:t>1</w:t>
                    </w:r>
                  </w:p>
                </w:txbxContent>
              </v:textbox>
            </v:shape>
            <v:shape id="_x0000_s1065" type="#_x0000_t202" style="position:absolute;left:7758;top:9846;width:502;height:385" stroked="f">
              <v:textbox style="mso-next-textbox:#_x0000_s1065">
                <w:txbxContent>
                  <w:p w:rsidR="00BE3265" w:rsidRPr="007245CC" w:rsidRDefault="00BE3265" w:rsidP="00BE3265">
                    <w:pPr>
                      <w:rPr>
                        <w:b/>
                        <w:bCs/>
                        <w:sz w:val="16"/>
                        <w:szCs w:val="16"/>
                        <w:vertAlign w:val="subscript"/>
                      </w:rPr>
                    </w:pPr>
                    <w:r>
                      <w:rPr>
                        <w:b/>
                        <w:bCs/>
                        <w:sz w:val="16"/>
                        <w:szCs w:val="16"/>
                      </w:rPr>
                      <w:t>I</w:t>
                    </w:r>
                    <w:r>
                      <w:rPr>
                        <w:b/>
                        <w:bCs/>
                        <w:sz w:val="16"/>
                        <w:szCs w:val="16"/>
                        <w:vertAlign w:val="subscript"/>
                      </w:rPr>
                      <w:t>2</w:t>
                    </w:r>
                  </w:p>
                </w:txbxContent>
              </v:textbox>
            </v:shape>
            <v:shape id="_x0000_s1066" type="#_x0000_t202" style="position:absolute;left:2953;top:9946;width:502;height:385" stroked="f">
              <v:textbox style="mso-next-textbox:#_x0000_s1066">
                <w:txbxContent>
                  <w:p w:rsidR="00BE3265" w:rsidRPr="007245CC" w:rsidRDefault="00BE3265" w:rsidP="00BE3265">
                    <w:pPr>
                      <w:rPr>
                        <w:b/>
                        <w:bCs/>
                        <w:sz w:val="16"/>
                        <w:szCs w:val="16"/>
                        <w:vertAlign w:val="subscript"/>
                      </w:rPr>
                    </w:pPr>
                    <w:r>
                      <w:rPr>
                        <w:b/>
                        <w:bCs/>
                        <w:sz w:val="16"/>
                        <w:szCs w:val="16"/>
                      </w:rPr>
                      <w:t>Y</w:t>
                    </w:r>
                    <w:r>
                      <w:rPr>
                        <w:b/>
                        <w:bCs/>
                        <w:sz w:val="16"/>
                        <w:szCs w:val="16"/>
                        <w:vertAlign w:val="subscript"/>
                      </w:rPr>
                      <w:t>1</w:t>
                    </w:r>
                  </w:p>
                </w:txbxContent>
              </v:textbox>
            </v:shape>
            <v:shape id="_x0000_s1067" type="#_x0000_t202" style="position:absolute;left:3695;top:9946;width:502;height:385" stroked="f">
              <v:textbox style="mso-next-textbox:#_x0000_s1067">
                <w:txbxContent>
                  <w:p w:rsidR="00BE3265" w:rsidRPr="007245CC" w:rsidRDefault="00BE3265" w:rsidP="00BE3265">
                    <w:pPr>
                      <w:rPr>
                        <w:b/>
                        <w:bCs/>
                        <w:sz w:val="16"/>
                        <w:szCs w:val="16"/>
                        <w:vertAlign w:val="subscript"/>
                      </w:rPr>
                    </w:pPr>
                    <w:r>
                      <w:rPr>
                        <w:b/>
                        <w:bCs/>
                        <w:sz w:val="16"/>
                        <w:szCs w:val="16"/>
                      </w:rPr>
                      <w:t>Y</w:t>
                    </w:r>
                    <w:r>
                      <w:rPr>
                        <w:b/>
                        <w:bCs/>
                        <w:sz w:val="16"/>
                        <w:szCs w:val="16"/>
                        <w:vertAlign w:val="subscript"/>
                      </w:rPr>
                      <w:t>2</w:t>
                    </w:r>
                  </w:p>
                </w:txbxContent>
              </v:textbox>
            </v:shape>
            <v:shape id="_x0000_s1068" type="#_x0000_t202" style="position:absolute;left:1641;top:8042;width:418;height:385" stroked="f">
              <v:textbox style="mso-next-textbox:#_x0000_s1068">
                <w:txbxContent>
                  <w:p w:rsidR="00BE3265" w:rsidRPr="007245CC" w:rsidRDefault="00BE3265" w:rsidP="00BE3265">
                    <w:pPr>
                      <w:rPr>
                        <w:b/>
                        <w:bCs/>
                        <w:sz w:val="16"/>
                        <w:szCs w:val="16"/>
                        <w:vertAlign w:val="subscript"/>
                      </w:rPr>
                    </w:pPr>
                    <w:r>
                      <w:rPr>
                        <w:b/>
                        <w:bCs/>
                        <w:sz w:val="16"/>
                        <w:szCs w:val="16"/>
                      </w:rPr>
                      <w:t>i</w:t>
                    </w:r>
                    <w:r>
                      <w:rPr>
                        <w:b/>
                        <w:bCs/>
                        <w:sz w:val="16"/>
                        <w:szCs w:val="16"/>
                        <w:vertAlign w:val="subscript"/>
                      </w:rPr>
                      <w:t>1</w:t>
                    </w:r>
                  </w:p>
                </w:txbxContent>
              </v:textbox>
            </v:shape>
            <v:shape id="_x0000_s1069" type="#_x0000_t202" style="position:absolute;left:1641;top:8667;width:418;height:385" stroked="f">
              <v:textbox style="mso-next-textbox:#_x0000_s1069">
                <w:txbxContent>
                  <w:p w:rsidR="00BE3265" w:rsidRPr="007245CC" w:rsidRDefault="00BE3265" w:rsidP="00BE3265">
                    <w:pPr>
                      <w:rPr>
                        <w:b/>
                        <w:bCs/>
                        <w:sz w:val="16"/>
                        <w:szCs w:val="16"/>
                        <w:vertAlign w:val="subscript"/>
                      </w:rPr>
                    </w:pPr>
                    <w:r>
                      <w:rPr>
                        <w:b/>
                        <w:bCs/>
                        <w:sz w:val="16"/>
                        <w:szCs w:val="16"/>
                      </w:rPr>
                      <w:t>I</w:t>
                    </w:r>
                    <w:r>
                      <w:rPr>
                        <w:b/>
                        <w:bCs/>
                        <w:sz w:val="16"/>
                        <w:szCs w:val="16"/>
                        <w:vertAlign w:val="subscript"/>
                      </w:rPr>
                      <w:t>2</w:t>
                    </w:r>
                  </w:p>
                </w:txbxContent>
              </v:textbox>
            </v:shape>
            <v:shape id="_x0000_s1070" type="#_x0000_t202" style="position:absolute;left:8260;top:7402;width:921;height:435" stroked="f">
              <v:textbox>
                <w:txbxContent>
                  <w:p w:rsidR="00BE3265" w:rsidRPr="00EC5E08" w:rsidRDefault="00BE3265" w:rsidP="00BE3265">
                    <w:pPr>
                      <w:rPr>
                        <w:b/>
                        <w:bCs/>
                        <w:sz w:val="20"/>
                        <w:szCs w:val="20"/>
                        <w:rtl/>
                        <w:lang w:bidi="ar-DZ"/>
                      </w:rPr>
                    </w:pPr>
                    <w:r>
                      <w:rPr>
                        <w:rFonts w:hint="cs"/>
                        <w:b/>
                        <w:bCs/>
                        <w:sz w:val="20"/>
                        <w:szCs w:val="20"/>
                        <w:rtl/>
                        <w:lang w:bidi="ar-DZ"/>
                      </w:rPr>
                      <w:t>شكل 01</w:t>
                    </w:r>
                  </w:p>
                </w:txbxContent>
              </v:textbox>
            </v:shape>
            <v:shape id="_x0000_s1071" type="#_x0000_t202" style="position:absolute;left:8477;top:3868;width:921;height:435" stroked="f">
              <v:textbox>
                <w:txbxContent>
                  <w:p w:rsidR="00BE3265" w:rsidRPr="00EC5E08" w:rsidRDefault="00BE3265" w:rsidP="00BE3265">
                    <w:pPr>
                      <w:rPr>
                        <w:b/>
                        <w:bCs/>
                        <w:sz w:val="20"/>
                        <w:szCs w:val="20"/>
                        <w:rtl/>
                        <w:lang w:bidi="ar-DZ"/>
                      </w:rPr>
                    </w:pPr>
                    <w:r>
                      <w:rPr>
                        <w:rFonts w:hint="cs"/>
                        <w:b/>
                        <w:bCs/>
                        <w:sz w:val="20"/>
                        <w:szCs w:val="20"/>
                        <w:rtl/>
                        <w:lang w:bidi="ar-DZ"/>
                      </w:rPr>
                      <w:t>شكل 02</w:t>
                    </w:r>
                  </w:p>
                </w:txbxContent>
              </v:textbox>
            </v:shape>
            <v:shape id="_x0000_s1072" type="#_x0000_t202" style="position:absolute;left:4487;top:3768;width:921;height:435" stroked="f">
              <v:textbox>
                <w:txbxContent>
                  <w:p w:rsidR="00BE3265" w:rsidRPr="00EC5E08" w:rsidRDefault="00BE3265" w:rsidP="00BE3265">
                    <w:pPr>
                      <w:rPr>
                        <w:b/>
                        <w:bCs/>
                        <w:sz w:val="20"/>
                        <w:szCs w:val="20"/>
                        <w:rtl/>
                        <w:lang w:bidi="ar-DZ"/>
                      </w:rPr>
                    </w:pPr>
                    <w:r>
                      <w:rPr>
                        <w:rFonts w:hint="cs"/>
                        <w:b/>
                        <w:bCs/>
                        <w:sz w:val="20"/>
                        <w:szCs w:val="20"/>
                        <w:rtl/>
                        <w:lang w:bidi="ar-DZ"/>
                      </w:rPr>
                      <w:t>شكل 03</w:t>
                    </w:r>
                  </w:p>
                </w:txbxContent>
              </v:textbox>
            </v:shape>
            <v:shape id="_x0000_s1073" type="#_x0000_t202" style="position:absolute;left:4487;top:7402;width:921;height:435" stroked="f">
              <v:textbox>
                <w:txbxContent>
                  <w:p w:rsidR="00BE3265" w:rsidRPr="00EC5E08" w:rsidRDefault="00BE3265" w:rsidP="00BE3265">
                    <w:pPr>
                      <w:rPr>
                        <w:b/>
                        <w:bCs/>
                        <w:sz w:val="20"/>
                        <w:szCs w:val="20"/>
                        <w:rtl/>
                        <w:lang w:bidi="ar-DZ"/>
                      </w:rPr>
                    </w:pPr>
                    <w:r>
                      <w:rPr>
                        <w:rFonts w:hint="cs"/>
                        <w:b/>
                        <w:bCs/>
                        <w:sz w:val="20"/>
                        <w:szCs w:val="20"/>
                        <w:rtl/>
                        <w:lang w:bidi="ar-DZ"/>
                      </w:rPr>
                      <w:t>شكل 04</w:t>
                    </w:r>
                  </w:p>
                </w:txbxContent>
              </v:textbox>
            </v:shape>
          </v:group>
        </w:pict>
      </w:r>
    </w:p>
    <w:p w:rsidR="00BE3265" w:rsidRDefault="00BE3265" w:rsidP="00BE3265">
      <w:pPr>
        <w:pStyle w:val="Paragraphedeliste"/>
        <w:bidi/>
        <w:spacing w:after="0"/>
        <w:jc w:val="lowKashida"/>
        <w:rPr>
          <w:rFonts w:eastAsiaTheme="minorEastAsia"/>
          <w:rtl/>
          <w:lang w:bidi="ar-DZ"/>
        </w:rPr>
      </w:pPr>
      <w:r>
        <w:rPr>
          <w:rFonts w:eastAsiaTheme="minorEastAsia" w:hint="cs"/>
          <w:rtl/>
          <w:lang w:bidi="ar-DZ"/>
        </w:rPr>
        <w:t xml:space="preserve"> </w:t>
      </w: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bidi/>
        <w:spacing w:after="0"/>
        <w:jc w:val="lowKashida"/>
        <w:rPr>
          <w:rFonts w:eastAsiaTheme="minorEastAsia"/>
          <w:rtl/>
          <w:lang w:bidi="ar-DZ"/>
        </w:rPr>
      </w:pPr>
    </w:p>
    <w:p w:rsidR="00BE3265" w:rsidRDefault="00BE3265" w:rsidP="00BE3265">
      <w:pPr>
        <w:pStyle w:val="Paragraphedeliste"/>
        <w:numPr>
          <w:ilvl w:val="0"/>
          <w:numId w:val="4"/>
        </w:numPr>
        <w:bidi/>
        <w:spacing w:after="0"/>
        <w:ind w:left="707"/>
        <w:jc w:val="lowKashida"/>
        <w:rPr>
          <w:rFonts w:eastAsiaTheme="minorEastAsia"/>
          <w:lang w:bidi="ar-DZ"/>
        </w:rPr>
      </w:pPr>
      <w:r>
        <w:rPr>
          <w:rFonts w:eastAsiaTheme="minorEastAsia" w:hint="cs"/>
          <w:rtl/>
          <w:lang w:bidi="ar-DZ"/>
        </w:rPr>
        <w:t>يمثل الشكل01 منحنى الاستثمار وعلاقته بسعر الفائدة حيث تظهر العلاقة العكسية بينهما</w:t>
      </w:r>
      <w:r>
        <w:rPr>
          <w:rFonts w:eastAsiaTheme="minorEastAsia"/>
          <w:lang w:bidi="ar-DZ"/>
        </w:rPr>
        <w:t>.</w:t>
      </w:r>
    </w:p>
    <w:p w:rsidR="00BE3265" w:rsidRDefault="00BE3265" w:rsidP="00BE3265">
      <w:pPr>
        <w:pStyle w:val="Paragraphedeliste"/>
        <w:numPr>
          <w:ilvl w:val="0"/>
          <w:numId w:val="4"/>
        </w:numPr>
        <w:bidi/>
        <w:spacing w:after="0"/>
        <w:ind w:left="707"/>
        <w:jc w:val="lowKashida"/>
        <w:rPr>
          <w:rFonts w:eastAsiaTheme="minorEastAsia"/>
          <w:lang w:bidi="ar-DZ"/>
        </w:rPr>
      </w:pPr>
      <w:r w:rsidRPr="00F86BC3">
        <w:rPr>
          <w:rFonts w:eastAsiaTheme="minorEastAsia" w:hint="cs"/>
          <w:rtl/>
          <w:lang w:bidi="ar-DZ"/>
        </w:rPr>
        <w:t xml:space="preserve">يمثل الشكل 02 </w:t>
      </w:r>
      <w:proofErr w:type="gramStart"/>
      <w:r w:rsidRPr="00F86BC3">
        <w:rPr>
          <w:rFonts w:eastAsiaTheme="minorEastAsia" w:hint="cs"/>
          <w:rtl/>
          <w:lang w:bidi="ar-DZ"/>
        </w:rPr>
        <w:t>المساواة</w:t>
      </w:r>
      <w:proofErr w:type="gramEnd"/>
      <w:r w:rsidRPr="00F86BC3">
        <w:rPr>
          <w:rFonts w:eastAsiaTheme="minorEastAsia" w:hint="cs"/>
          <w:rtl/>
          <w:lang w:bidi="ar-DZ"/>
        </w:rPr>
        <w:t xml:space="preserve"> بين الادخار والاستثمار.</w:t>
      </w:r>
    </w:p>
    <w:p w:rsidR="00BE3265" w:rsidRDefault="00BE3265" w:rsidP="00BE3265">
      <w:pPr>
        <w:pStyle w:val="Paragraphedeliste"/>
        <w:numPr>
          <w:ilvl w:val="0"/>
          <w:numId w:val="4"/>
        </w:numPr>
        <w:bidi/>
        <w:spacing w:after="0"/>
        <w:ind w:left="707"/>
        <w:jc w:val="lowKashida"/>
        <w:rPr>
          <w:rFonts w:eastAsiaTheme="minorEastAsia"/>
          <w:lang w:bidi="ar-DZ"/>
        </w:rPr>
      </w:pPr>
      <w:r w:rsidRPr="00F86BC3">
        <w:rPr>
          <w:rFonts w:eastAsiaTheme="minorEastAsia" w:hint="cs"/>
          <w:rtl/>
          <w:lang w:bidi="ar-DZ"/>
        </w:rPr>
        <w:t xml:space="preserve">يمثل الشكل 03 منحنى الادخار وعلاقته بالدخل </w:t>
      </w:r>
      <w:r>
        <w:rPr>
          <w:rFonts w:eastAsiaTheme="minorEastAsia" w:hint="cs"/>
          <w:rtl/>
          <w:lang w:bidi="ar-DZ"/>
        </w:rPr>
        <w:t>حيث تظهر العلاقة الطردية بينهما</w:t>
      </w:r>
      <w:r>
        <w:rPr>
          <w:rFonts w:eastAsiaTheme="minorEastAsia"/>
          <w:lang w:bidi="ar-DZ"/>
        </w:rPr>
        <w:t>.</w:t>
      </w:r>
    </w:p>
    <w:p w:rsidR="00BE3265" w:rsidRPr="00F86BC3" w:rsidRDefault="00BE3265" w:rsidP="00BE3265">
      <w:pPr>
        <w:pStyle w:val="Paragraphedeliste"/>
        <w:numPr>
          <w:ilvl w:val="0"/>
          <w:numId w:val="4"/>
        </w:numPr>
        <w:bidi/>
        <w:spacing w:after="0"/>
        <w:ind w:left="707"/>
        <w:jc w:val="lowKashida"/>
        <w:rPr>
          <w:rFonts w:eastAsiaTheme="minorEastAsia"/>
          <w:lang w:bidi="ar-DZ"/>
        </w:rPr>
      </w:pPr>
      <w:proofErr w:type="gramStart"/>
      <w:r w:rsidRPr="00F86BC3">
        <w:rPr>
          <w:rFonts w:eastAsiaTheme="minorEastAsia" w:hint="cs"/>
          <w:rtl/>
          <w:lang w:bidi="ar-DZ"/>
        </w:rPr>
        <w:t>يمثل</w:t>
      </w:r>
      <w:proofErr w:type="gramEnd"/>
      <w:r w:rsidRPr="00F86BC3">
        <w:rPr>
          <w:rFonts w:eastAsiaTheme="minorEastAsia" w:hint="cs"/>
          <w:rtl/>
          <w:lang w:bidi="ar-DZ"/>
        </w:rPr>
        <w:t xml:space="preserve"> الشكل 04 منحنى </w:t>
      </w:r>
      <w:r w:rsidRPr="00F86BC3">
        <w:rPr>
          <w:rFonts w:eastAsiaTheme="minorEastAsia"/>
          <w:lang w:bidi="ar-DZ"/>
        </w:rPr>
        <w:t>IS</w:t>
      </w:r>
      <w:r w:rsidRPr="00F86BC3">
        <w:rPr>
          <w:rFonts w:eastAsiaTheme="minorEastAsia" w:hint="cs"/>
          <w:rtl/>
          <w:lang w:bidi="ar-DZ"/>
        </w:rPr>
        <w:t xml:space="preserve"> أين تظهر العلاقة العكسية بين الدخل وسعر الفائدة مما يعني أن منحنى </w:t>
      </w:r>
      <w:r w:rsidRPr="00F86BC3">
        <w:rPr>
          <w:rFonts w:eastAsiaTheme="minorEastAsia"/>
          <w:lang w:bidi="ar-DZ"/>
        </w:rPr>
        <w:t>IS</w:t>
      </w:r>
      <w:r w:rsidRPr="00F86BC3">
        <w:rPr>
          <w:rFonts w:eastAsiaTheme="minorEastAsia" w:hint="cs"/>
          <w:rtl/>
          <w:lang w:bidi="ar-DZ"/>
        </w:rPr>
        <w:t xml:space="preserve"> سالب الميل.</w:t>
      </w:r>
    </w:p>
    <w:p w:rsidR="00BE3265" w:rsidRDefault="00BE3265" w:rsidP="00BE3265">
      <w:pPr>
        <w:pStyle w:val="Paragraphedeliste"/>
        <w:numPr>
          <w:ilvl w:val="0"/>
          <w:numId w:val="3"/>
        </w:numPr>
        <w:bidi/>
        <w:spacing w:after="0"/>
        <w:jc w:val="lowKashida"/>
        <w:rPr>
          <w:rFonts w:eastAsiaTheme="minorEastAsia"/>
          <w:lang w:bidi="ar-DZ"/>
        </w:rPr>
      </w:pPr>
      <w:proofErr w:type="gramStart"/>
      <w:r w:rsidRPr="003A57F7">
        <w:rPr>
          <w:rFonts w:eastAsiaTheme="minorEastAsia" w:hint="cs"/>
          <w:b/>
          <w:bCs/>
          <w:rtl/>
          <w:lang w:bidi="ar-DZ"/>
        </w:rPr>
        <w:t>تعريف</w:t>
      </w:r>
      <w:proofErr w:type="gramEnd"/>
      <w:r w:rsidRPr="003A57F7">
        <w:rPr>
          <w:rFonts w:eastAsiaTheme="minorEastAsia" w:hint="cs"/>
          <w:b/>
          <w:bCs/>
          <w:rtl/>
          <w:lang w:bidi="ar-DZ"/>
        </w:rPr>
        <w:t xml:space="preserve"> منحنى </w:t>
      </w:r>
      <w:r w:rsidRPr="003A57F7">
        <w:rPr>
          <w:rFonts w:eastAsiaTheme="minorEastAsia"/>
          <w:b/>
          <w:bCs/>
          <w:lang w:bidi="ar-DZ"/>
        </w:rPr>
        <w:t>IS</w:t>
      </w:r>
      <w:r>
        <w:rPr>
          <w:rFonts w:eastAsiaTheme="minorEastAsia" w:hint="cs"/>
          <w:rtl/>
          <w:lang w:bidi="ar-DZ"/>
        </w:rPr>
        <w:t>: يعرف بأنه مجموع التوليفات من الدخل وسعر الفائدة (</w:t>
      </w:r>
      <w:proofErr w:type="spellStart"/>
      <w:r>
        <w:rPr>
          <w:rFonts w:eastAsiaTheme="minorEastAsia"/>
          <w:lang w:bidi="ar-DZ"/>
        </w:rPr>
        <w:t>y.i</w:t>
      </w:r>
      <w:proofErr w:type="spellEnd"/>
      <w:r>
        <w:rPr>
          <w:rFonts w:eastAsiaTheme="minorEastAsia" w:hint="cs"/>
          <w:rtl/>
          <w:lang w:bidi="ar-DZ"/>
        </w:rPr>
        <w:t xml:space="preserve">) التي تحقق التوازن في سوق السلع والخدمات، أي التي تحقق المساواة بين الادخار </w:t>
      </w:r>
      <w:r>
        <w:rPr>
          <w:rFonts w:eastAsiaTheme="minorEastAsia"/>
          <w:lang w:bidi="ar-DZ"/>
        </w:rPr>
        <w:t>S</w:t>
      </w:r>
      <w:r>
        <w:rPr>
          <w:rFonts w:eastAsiaTheme="minorEastAsia" w:hint="cs"/>
          <w:rtl/>
          <w:lang w:bidi="ar-DZ"/>
        </w:rPr>
        <w:t xml:space="preserve"> والاستثمار </w:t>
      </w:r>
      <w:r>
        <w:rPr>
          <w:rFonts w:eastAsiaTheme="minorEastAsia"/>
          <w:lang w:bidi="ar-DZ"/>
        </w:rPr>
        <w:t>I</w:t>
      </w:r>
      <w:r>
        <w:rPr>
          <w:rFonts w:eastAsiaTheme="minorEastAsia" w:hint="cs"/>
          <w:rtl/>
          <w:lang w:bidi="ar-DZ"/>
        </w:rPr>
        <w:t xml:space="preserve"> لذلك سمي منحنى </w:t>
      </w:r>
      <w:r>
        <w:rPr>
          <w:rFonts w:eastAsiaTheme="minorEastAsia"/>
          <w:lang w:bidi="ar-DZ"/>
        </w:rPr>
        <w:t>IS</w:t>
      </w:r>
      <w:r>
        <w:rPr>
          <w:rFonts w:eastAsiaTheme="minorEastAsia" w:hint="cs"/>
          <w:rtl/>
          <w:lang w:bidi="ar-DZ"/>
        </w:rPr>
        <w:t>.</w:t>
      </w:r>
    </w:p>
    <w:p w:rsidR="00BE3265" w:rsidRPr="00F86BC3" w:rsidRDefault="00BE3265" w:rsidP="00BE3265">
      <w:pPr>
        <w:pStyle w:val="Paragraphedeliste"/>
        <w:numPr>
          <w:ilvl w:val="0"/>
          <w:numId w:val="3"/>
        </w:numPr>
        <w:bidi/>
        <w:spacing w:after="0"/>
        <w:jc w:val="lowKashida"/>
        <w:rPr>
          <w:rFonts w:eastAsiaTheme="minorEastAsia"/>
          <w:rtl/>
          <w:lang w:bidi="ar-DZ"/>
        </w:rPr>
      </w:pPr>
      <w:proofErr w:type="gramStart"/>
      <w:r>
        <w:rPr>
          <w:rFonts w:eastAsiaTheme="minorEastAsia" w:hint="cs"/>
          <w:b/>
          <w:bCs/>
          <w:rtl/>
          <w:lang w:bidi="ar-DZ"/>
        </w:rPr>
        <w:lastRenderedPageBreak/>
        <w:t>انتقال</w:t>
      </w:r>
      <w:proofErr w:type="gramEnd"/>
      <w:r>
        <w:rPr>
          <w:rFonts w:eastAsiaTheme="minorEastAsia" w:hint="cs"/>
          <w:b/>
          <w:bCs/>
          <w:rtl/>
          <w:lang w:bidi="ar-DZ"/>
        </w:rPr>
        <w:t xml:space="preserve"> منحنى </w:t>
      </w:r>
      <w:r>
        <w:rPr>
          <w:rFonts w:eastAsiaTheme="minorEastAsia"/>
          <w:b/>
          <w:bCs/>
          <w:lang w:bidi="ar-DZ"/>
        </w:rPr>
        <w:t>IS</w:t>
      </w:r>
      <w:r>
        <w:rPr>
          <w:rFonts w:eastAsiaTheme="minorEastAsia" w:hint="cs"/>
          <w:b/>
          <w:bCs/>
          <w:rtl/>
          <w:lang w:bidi="ar-DZ"/>
        </w:rPr>
        <w:t>:</w:t>
      </w:r>
      <w:r>
        <w:rPr>
          <w:rFonts w:eastAsiaTheme="minorEastAsia" w:hint="cs"/>
          <w:rtl/>
          <w:lang w:bidi="ar-DZ"/>
        </w:rPr>
        <w:t xml:space="preserve"> </w:t>
      </w:r>
      <w:r w:rsidRPr="00F86BC3">
        <w:rPr>
          <w:rFonts w:eastAsiaTheme="minorEastAsia" w:hint="cs"/>
          <w:rtl/>
          <w:lang w:bidi="ar-DZ"/>
        </w:rPr>
        <w:t xml:space="preserve">ينتقل منحنى </w:t>
      </w:r>
      <w:r w:rsidRPr="00F86BC3">
        <w:rPr>
          <w:rFonts w:eastAsiaTheme="minorEastAsia"/>
          <w:lang w:bidi="ar-DZ"/>
        </w:rPr>
        <w:t>IS</w:t>
      </w:r>
      <w:r w:rsidRPr="00F86BC3">
        <w:rPr>
          <w:rFonts w:eastAsiaTheme="minorEastAsia" w:hint="cs"/>
          <w:rtl/>
          <w:lang w:bidi="ar-DZ"/>
        </w:rPr>
        <w:t xml:space="preserve"> جهة اليمين في حالة السياسات المالية التوسعية أي في حالة زيادة الإنفاق الحكومي أو خفض الضرائب، وينتقل جهة اليسار في حالة السياسات المالية الانكماشية أي في حالة خفض الإنفاق الحكومي أو زيادة الضرائب. الشكل التالي يبين كيفية الانتقال:</w:t>
      </w:r>
    </w:p>
    <w:p w:rsidR="00BE3265" w:rsidRDefault="004D69FE" w:rsidP="00BE3265">
      <w:pPr>
        <w:pStyle w:val="Paragraphedeliste"/>
        <w:bidi/>
        <w:spacing w:after="0"/>
        <w:ind w:left="707"/>
        <w:jc w:val="lowKashida"/>
        <w:rPr>
          <w:rFonts w:eastAsiaTheme="minorEastAsia"/>
          <w:b/>
          <w:bCs/>
          <w:rtl/>
          <w:lang w:bidi="ar-DZ"/>
        </w:rPr>
      </w:pPr>
      <w:r w:rsidRPr="004D69FE">
        <w:rPr>
          <w:rFonts w:eastAsiaTheme="minorEastAsia"/>
          <w:noProof/>
          <w:rtl/>
          <w:lang w:eastAsia="fr-FR"/>
        </w:rPr>
        <w:pict>
          <v:group id="_x0000_s1074" style="position:absolute;left:0;text-align:left;margin-left:157.05pt;margin-top:12.45pt;width:264.55pt;height:182.8pt;z-index:251662336" coordorigin="4571,5576" coordsize="5291,3656">
            <v:shape id="_x0000_s1075" type="#_x0000_t32" style="position:absolute;left:5140;top:9126;width:4287;height:0" o:connectortype="straight">
              <v:stroke endarrow="block"/>
            </v:shape>
            <v:shape id="_x0000_s1076" type="#_x0000_t32" style="position:absolute;left:5140;top:5743;width:0;height:3383;flip:y" o:connectortype="straight">
              <v:stroke endarrow="block"/>
            </v:shape>
            <v:shape id="_x0000_s1077" type="#_x0000_t32" style="position:absolute;left:5392;top:6781;width:3148;height:1390" o:connectortype="straight"/>
            <v:shape id="_x0000_s1078" type="#_x0000_t32" style="position:absolute;left:5240;top:7657;width:3142;height:1385" o:connectortype="straight"/>
            <v:shape id="_x0000_s1079" type="#_x0000_t32" style="position:absolute;left:5793;top:5944;width:3114;height:1340" o:connectortype="straight"/>
            <v:shape id="_x0000_s1080" type="#_x0000_t32" style="position:absolute;left:6414;top:6631;width:218;height:368;flip:y" o:connectortype="straight">
              <v:stroke endarrow="block"/>
            </v:shape>
            <v:shape id="_x0000_s1081" type="#_x0000_t32" style="position:absolute;left:8020;top:7401;width:218;height:413;flip:y" o:connectortype="straight">
              <v:stroke endarrow="block"/>
            </v:shape>
            <v:shape id="_x0000_s1082" type="#_x0000_t32" style="position:absolute;left:7903;top:8171;width:117;height:436;flip:x" o:connectortype="straight">
              <v:stroke endarrow="block"/>
            </v:shape>
            <v:shape id="_x0000_s1083" type="#_x0000_t32" style="position:absolute;left:6128;top:7401;width:168;height:435;flip:x" o:connectortype="straight">
              <v:stroke endarrow="block"/>
            </v:shape>
            <v:shape id="_x0000_s1084" type="#_x0000_t202" style="position:absolute;left:6875;top:6999;width:1246;height:335" stroked="f">
              <v:textbox>
                <w:txbxContent>
                  <w:p w:rsidR="00BE3265" w:rsidRPr="00CE1480" w:rsidRDefault="00BE3265" w:rsidP="00BE3265">
                    <w:pPr>
                      <w:spacing w:after="0" w:line="240" w:lineRule="auto"/>
                      <w:jc w:val="center"/>
                      <w:rPr>
                        <w:b/>
                        <w:bCs/>
                        <w:sz w:val="16"/>
                        <w:szCs w:val="16"/>
                        <w:lang w:bidi="ar-DZ"/>
                      </w:rPr>
                    </w:pPr>
                    <w:proofErr w:type="gramStart"/>
                    <w:r>
                      <w:rPr>
                        <w:rFonts w:hint="cs"/>
                        <w:b/>
                        <w:bCs/>
                        <w:sz w:val="16"/>
                        <w:szCs w:val="16"/>
                        <w:rtl/>
                        <w:lang w:bidi="ar-DZ"/>
                      </w:rPr>
                      <w:t>مالية</w:t>
                    </w:r>
                    <w:proofErr w:type="gramEnd"/>
                    <w:r>
                      <w:rPr>
                        <w:rFonts w:hint="cs"/>
                        <w:b/>
                        <w:bCs/>
                        <w:sz w:val="16"/>
                        <w:szCs w:val="16"/>
                        <w:rtl/>
                        <w:lang w:bidi="ar-DZ"/>
                      </w:rPr>
                      <w:t xml:space="preserve"> توسعية</w:t>
                    </w:r>
                  </w:p>
                </w:txbxContent>
              </v:textbox>
            </v:shape>
            <v:shape id="_x0000_s1085" type="#_x0000_t202" style="position:absolute;left:6414;top:7836;width:1256;height:335" stroked="f">
              <v:textbox>
                <w:txbxContent>
                  <w:p w:rsidR="00BE3265" w:rsidRPr="00CE1480" w:rsidRDefault="00BE3265" w:rsidP="00BE3265">
                    <w:pPr>
                      <w:jc w:val="center"/>
                      <w:rPr>
                        <w:b/>
                        <w:bCs/>
                        <w:sz w:val="16"/>
                        <w:szCs w:val="16"/>
                        <w:lang w:bidi="ar-DZ"/>
                      </w:rPr>
                    </w:pPr>
                    <w:proofErr w:type="gramStart"/>
                    <w:r>
                      <w:rPr>
                        <w:rFonts w:hint="cs"/>
                        <w:b/>
                        <w:bCs/>
                        <w:sz w:val="16"/>
                        <w:szCs w:val="16"/>
                        <w:rtl/>
                        <w:lang w:bidi="ar-DZ"/>
                      </w:rPr>
                      <w:t>مالية</w:t>
                    </w:r>
                    <w:proofErr w:type="gramEnd"/>
                    <w:r>
                      <w:rPr>
                        <w:rFonts w:hint="cs"/>
                        <w:b/>
                        <w:bCs/>
                        <w:sz w:val="16"/>
                        <w:szCs w:val="16"/>
                        <w:rtl/>
                        <w:lang w:bidi="ar-DZ"/>
                      </w:rPr>
                      <w:t xml:space="preserve"> انكماشية</w:t>
                    </w:r>
                  </w:p>
                </w:txbxContent>
              </v:textbox>
            </v:shape>
            <v:shape id="_x0000_s1086" type="#_x0000_t202" style="position:absolute;left:4571;top:5576;width:435;height:368" stroked="f">
              <v:textbox>
                <w:txbxContent>
                  <w:p w:rsidR="00BE3265" w:rsidRPr="00FC18CD" w:rsidRDefault="00BE3265" w:rsidP="00BE3265">
                    <w:pPr>
                      <w:rPr>
                        <w:b/>
                        <w:bCs/>
                        <w:sz w:val="16"/>
                        <w:szCs w:val="16"/>
                      </w:rPr>
                    </w:pPr>
                    <w:r>
                      <w:rPr>
                        <w:b/>
                        <w:bCs/>
                        <w:sz w:val="16"/>
                        <w:szCs w:val="16"/>
                      </w:rPr>
                      <w:t>i</w:t>
                    </w:r>
                  </w:p>
                </w:txbxContent>
              </v:textbox>
            </v:shape>
            <v:shape id="_x0000_s1087" type="#_x0000_t202" style="position:absolute;left:9427;top:8864;width:435;height:368" stroked="f">
              <v:textbox>
                <w:txbxContent>
                  <w:p w:rsidR="00BE3265" w:rsidRPr="00FC18CD" w:rsidRDefault="00BE3265" w:rsidP="00BE3265">
                    <w:pPr>
                      <w:rPr>
                        <w:b/>
                        <w:bCs/>
                        <w:sz w:val="16"/>
                        <w:szCs w:val="16"/>
                      </w:rPr>
                    </w:pPr>
                    <w:proofErr w:type="gramStart"/>
                    <w:r>
                      <w:rPr>
                        <w:b/>
                        <w:bCs/>
                        <w:sz w:val="16"/>
                        <w:szCs w:val="16"/>
                      </w:rPr>
                      <w:t>y</w:t>
                    </w:r>
                    <w:proofErr w:type="gramEnd"/>
                  </w:p>
                </w:txbxContent>
              </v:textbox>
            </v:shape>
          </v:group>
        </w:pict>
      </w:r>
      <w:r w:rsidR="00BE3265">
        <w:rPr>
          <w:rFonts w:eastAsiaTheme="minorEastAsia" w:hint="cs"/>
          <w:b/>
          <w:bCs/>
          <w:rtl/>
          <w:lang w:bidi="ar-DZ"/>
        </w:rPr>
        <w:t xml:space="preserve">شكل رقم 03: </w:t>
      </w:r>
      <w:proofErr w:type="gramStart"/>
      <w:r w:rsidR="00BE3265">
        <w:rPr>
          <w:rFonts w:eastAsiaTheme="minorEastAsia" w:hint="cs"/>
          <w:b/>
          <w:bCs/>
          <w:rtl/>
          <w:lang w:bidi="ar-DZ"/>
        </w:rPr>
        <w:t>انتقال</w:t>
      </w:r>
      <w:proofErr w:type="gramEnd"/>
      <w:r w:rsidR="00BE3265">
        <w:rPr>
          <w:rFonts w:eastAsiaTheme="minorEastAsia" w:hint="cs"/>
          <w:b/>
          <w:bCs/>
          <w:rtl/>
          <w:lang w:bidi="ar-DZ"/>
        </w:rPr>
        <w:t xml:space="preserve"> منحنى </w:t>
      </w:r>
      <w:r w:rsidR="00BE3265">
        <w:rPr>
          <w:rFonts w:eastAsiaTheme="minorEastAsia"/>
          <w:b/>
          <w:bCs/>
          <w:lang w:bidi="ar-DZ"/>
        </w:rPr>
        <w:t>IS</w:t>
      </w:r>
    </w:p>
    <w:p w:rsidR="00BE3265" w:rsidRDefault="00BE3265" w:rsidP="00BE3265">
      <w:pPr>
        <w:pStyle w:val="Paragraphedeliste"/>
        <w:bidi/>
        <w:spacing w:after="0"/>
        <w:ind w:left="423"/>
        <w:jc w:val="lowKashida"/>
        <w:rPr>
          <w:rFonts w:eastAsiaTheme="minorEastAsia"/>
          <w:b/>
          <w:bCs/>
          <w:lang w:bidi="ar-DZ"/>
        </w:rPr>
      </w:pPr>
    </w:p>
    <w:p w:rsidR="00BE3265" w:rsidRDefault="00BE3265" w:rsidP="00BE3265">
      <w:pPr>
        <w:pStyle w:val="Paragraphedeliste"/>
        <w:bidi/>
        <w:spacing w:after="0"/>
        <w:ind w:left="423"/>
        <w:jc w:val="lowKashida"/>
        <w:rPr>
          <w:rFonts w:eastAsiaTheme="minorEastAsia"/>
          <w:b/>
          <w:bCs/>
          <w:lang w:bidi="ar-DZ"/>
        </w:rPr>
      </w:pPr>
    </w:p>
    <w:p w:rsidR="00BE3265" w:rsidRDefault="00BE3265" w:rsidP="00BE3265">
      <w:pPr>
        <w:pStyle w:val="Paragraphedeliste"/>
        <w:bidi/>
        <w:spacing w:after="0"/>
        <w:ind w:left="423"/>
        <w:jc w:val="lowKashida"/>
        <w:rPr>
          <w:rFonts w:eastAsiaTheme="minorEastAsia"/>
          <w:b/>
          <w:bCs/>
          <w:lang w:bidi="ar-DZ"/>
        </w:rPr>
      </w:pPr>
    </w:p>
    <w:p w:rsidR="00BE3265" w:rsidRDefault="00BE3265" w:rsidP="00BE3265">
      <w:pPr>
        <w:pStyle w:val="Paragraphedeliste"/>
        <w:bidi/>
        <w:spacing w:after="0"/>
        <w:ind w:left="423"/>
        <w:jc w:val="lowKashida"/>
        <w:rPr>
          <w:rFonts w:eastAsiaTheme="minorEastAsia"/>
          <w:b/>
          <w:bCs/>
          <w:lang w:bidi="ar-DZ"/>
        </w:rPr>
      </w:pPr>
    </w:p>
    <w:p w:rsidR="00BE3265" w:rsidRDefault="00BE3265" w:rsidP="00BE3265">
      <w:pPr>
        <w:pStyle w:val="Paragraphedeliste"/>
        <w:bidi/>
        <w:spacing w:after="0"/>
        <w:ind w:left="423"/>
        <w:jc w:val="lowKashida"/>
        <w:rPr>
          <w:rFonts w:eastAsiaTheme="minorEastAsia"/>
          <w:b/>
          <w:bCs/>
          <w:lang w:bidi="ar-DZ"/>
        </w:rPr>
      </w:pPr>
    </w:p>
    <w:p w:rsidR="00BE3265" w:rsidRDefault="00BE3265" w:rsidP="00BE3265">
      <w:pPr>
        <w:pStyle w:val="Paragraphedeliste"/>
        <w:bidi/>
        <w:spacing w:after="0"/>
        <w:ind w:left="423"/>
        <w:jc w:val="lowKashida"/>
        <w:rPr>
          <w:rFonts w:eastAsiaTheme="minorEastAsia"/>
          <w:b/>
          <w:bCs/>
          <w:lang w:bidi="ar-DZ"/>
        </w:rPr>
      </w:pPr>
    </w:p>
    <w:p w:rsidR="00BE3265" w:rsidRDefault="00BE3265" w:rsidP="00BE3265">
      <w:pPr>
        <w:pStyle w:val="Paragraphedeliste"/>
        <w:bidi/>
        <w:spacing w:after="0"/>
        <w:ind w:left="423"/>
        <w:jc w:val="lowKashida"/>
        <w:rPr>
          <w:rFonts w:eastAsiaTheme="minorEastAsia"/>
          <w:b/>
          <w:bCs/>
          <w:lang w:bidi="ar-DZ"/>
        </w:rPr>
      </w:pPr>
    </w:p>
    <w:p w:rsidR="00556F50" w:rsidRDefault="00556F50" w:rsidP="00BE3265">
      <w:pPr>
        <w:bidi/>
      </w:pPr>
    </w:p>
    <w:sectPr w:rsidR="00556F50" w:rsidSect="00FA0B3A">
      <w:pgSz w:w="11906" w:h="16838" w:code="9"/>
      <w:pgMar w:top="1418" w:right="1418" w:bottom="1418"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Simplified Arabic Fixed">
    <w:panose1 w:val="02070309020205020404"/>
    <w:charset w:val="00"/>
    <w:family w:val="modern"/>
    <w:pitch w:val="fixed"/>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4E08"/>
    <w:multiLevelType w:val="hybridMultilevel"/>
    <w:tmpl w:val="981AA586"/>
    <w:lvl w:ilvl="0" w:tplc="040C0001">
      <w:start w:val="1"/>
      <w:numFmt w:val="bullet"/>
      <w:lvlText w:val=""/>
      <w:lvlJc w:val="left"/>
      <w:pPr>
        <w:ind w:left="1503" w:hanging="360"/>
      </w:pPr>
      <w:rPr>
        <w:rFonts w:ascii="Symbol" w:hAnsi="Symbol" w:hint="default"/>
      </w:rPr>
    </w:lvl>
    <w:lvl w:ilvl="1" w:tplc="040C0003" w:tentative="1">
      <w:start w:val="1"/>
      <w:numFmt w:val="bullet"/>
      <w:lvlText w:val="o"/>
      <w:lvlJc w:val="left"/>
      <w:pPr>
        <w:ind w:left="2223" w:hanging="360"/>
      </w:pPr>
      <w:rPr>
        <w:rFonts w:ascii="Courier New" w:hAnsi="Courier New" w:cs="Courier New" w:hint="default"/>
      </w:rPr>
    </w:lvl>
    <w:lvl w:ilvl="2" w:tplc="040C0005" w:tentative="1">
      <w:start w:val="1"/>
      <w:numFmt w:val="bullet"/>
      <w:lvlText w:val=""/>
      <w:lvlJc w:val="left"/>
      <w:pPr>
        <w:ind w:left="2943" w:hanging="360"/>
      </w:pPr>
      <w:rPr>
        <w:rFonts w:ascii="Wingdings" w:hAnsi="Wingdings" w:hint="default"/>
      </w:rPr>
    </w:lvl>
    <w:lvl w:ilvl="3" w:tplc="040C0001" w:tentative="1">
      <w:start w:val="1"/>
      <w:numFmt w:val="bullet"/>
      <w:lvlText w:val=""/>
      <w:lvlJc w:val="left"/>
      <w:pPr>
        <w:ind w:left="3663" w:hanging="360"/>
      </w:pPr>
      <w:rPr>
        <w:rFonts w:ascii="Symbol" w:hAnsi="Symbol" w:hint="default"/>
      </w:rPr>
    </w:lvl>
    <w:lvl w:ilvl="4" w:tplc="040C0003" w:tentative="1">
      <w:start w:val="1"/>
      <w:numFmt w:val="bullet"/>
      <w:lvlText w:val="o"/>
      <w:lvlJc w:val="left"/>
      <w:pPr>
        <w:ind w:left="4383" w:hanging="360"/>
      </w:pPr>
      <w:rPr>
        <w:rFonts w:ascii="Courier New" w:hAnsi="Courier New" w:cs="Courier New" w:hint="default"/>
      </w:rPr>
    </w:lvl>
    <w:lvl w:ilvl="5" w:tplc="040C0005" w:tentative="1">
      <w:start w:val="1"/>
      <w:numFmt w:val="bullet"/>
      <w:lvlText w:val=""/>
      <w:lvlJc w:val="left"/>
      <w:pPr>
        <w:ind w:left="5103" w:hanging="360"/>
      </w:pPr>
      <w:rPr>
        <w:rFonts w:ascii="Wingdings" w:hAnsi="Wingdings" w:hint="default"/>
      </w:rPr>
    </w:lvl>
    <w:lvl w:ilvl="6" w:tplc="040C0001" w:tentative="1">
      <w:start w:val="1"/>
      <w:numFmt w:val="bullet"/>
      <w:lvlText w:val=""/>
      <w:lvlJc w:val="left"/>
      <w:pPr>
        <w:ind w:left="5823" w:hanging="360"/>
      </w:pPr>
      <w:rPr>
        <w:rFonts w:ascii="Symbol" w:hAnsi="Symbol" w:hint="default"/>
      </w:rPr>
    </w:lvl>
    <w:lvl w:ilvl="7" w:tplc="040C0003" w:tentative="1">
      <w:start w:val="1"/>
      <w:numFmt w:val="bullet"/>
      <w:lvlText w:val="o"/>
      <w:lvlJc w:val="left"/>
      <w:pPr>
        <w:ind w:left="6543" w:hanging="360"/>
      </w:pPr>
      <w:rPr>
        <w:rFonts w:ascii="Courier New" w:hAnsi="Courier New" w:cs="Courier New" w:hint="default"/>
      </w:rPr>
    </w:lvl>
    <w:lvl w:ilvl="8" w:tplc="040C0005" w:tentative="1">
      <w:start w:val="1"/>
      <w:numFmt w:val="bullet"/>
      <w:lvlText w:val=""/>
      <w:lvlJc w:val="left"/>
      <w:pPr>
        <w:ind w:left="7263" w:hanging="360"/>
      </w:pPr>
      <w:rPr>
        <w:rFonts w:ascii="Wingdings" w:hAnsi="Wingdings" w:hint="default"/>
      </w:rPr>
    </w:lvl>
  </w:abstractNum>
  <w:abstractNum w:abstractNumId="1">
    <w:nsid w:val="4D270E34"/>
    <w:multiLevelType w:val="hybridMultilevel"/>
    <w:tmpl w:val="EB0CCBEA"/>
    <w:lvl w:ilvl="0" w:tplc="E8523732">
      <w:numFmt w:val="bullet"/>
      <w:lvlText w:val="-"/>
      <w:lvlJc w:val="left"/>
      <w:pPr>
        <w:ind w:left="783" w:hanging="360"/>
      </w:pPr>
      <w:rPr>
        <w:rFonts w:ascii="Simplified Arabic" w:eastAsiaTheme="minorHAnsi" w:hAnsi="Simplified Arabic" w:cs="Simplified Arabic"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
    <w:nsid w:val="55321763"/>
    <w:multiLevelType w:val="hybridMultilevel"/>
    <w:tmpl w:val="7EF63F72"/>
    <w:lvl w:ilvl="0" w:tplc="446AF8F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C730A2"/>
    <w:multiLevelType w:val="hybridMultilevel"/>
    <w:tmpl w:val="F2AE97D6"/>
    <w:lvl w:ilvl="0" w:tplc="0FBC1916">
      <w:start w:val="1"/>
      <w:numFmt w:val="bullet"/>
      <w:lvlText w:val="*"/>
      <w:lvlJc w:val="left"/>
      <w:pPr>
        <w:ind w:left="1440" w:hanging="360"/>
      </w:pPr>
      <w:rPr>
        <w:rFonts w:ascii="Simplified Arabic Fixed" w:hAnsi="Simplified Arabic Fixe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E3265"/>
    <w:rsid w:val="0009754F"/>
    <w:rsid w:val="000F6E15"/>
    <w:rsid w:val="00133844"/>
    <w:rsid w:val="002059CB"/>
    <w:rsid w:val="00261674"/>
    <w:rsid w:val="00430C06"/>
    <w:rsid w:val="004533A8"/>
    <w:rsid w:val="00472CFB"/>
    <w:rsid w:val="004D69FE"/>
    <w:rsid w:val="005451A1"/>
    <w:rsid w:val="00551817"/>
    <w:rsid w:val="00556F50"/>
    <w:rsid w:val="00635A90"/>
    <w:rsid w:val="00646138"/>
    <w:rsid w:val="00762E99"/>
    <w:rsid w:val="007B3A12"/>
    <w:rsid w:val="00824345"/>
    <w:rsid w:val="008A0099"/>
    <w:rsid w:val="008A4156"/>
    <w:rsid w:val="008C21AB"/>
    <w:rsid w:val="00A61321"/>
    <w:rsid w:val="00AC5ECE"/>
    <w:rsid w:val="00BD3B87"/>
    <w:rsid w:val="00BE3265"/>
    <w:rsid w:val="00C12049"/>
    <w:rsid w:val="00EC0623"/>
    <w:rsid w:val="00F000B1"/>
    <w:rsid w:val="00FA0B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arc" idref="#_x0000_s1029"/>
        <o:r id="V:Rule33" type="connector" idref="#_x0000_s1040"/>
        <o:r id="V:Rule34" type="connector" idref="#_x0000_s1052"/>
        <o:r id="V:Rule35" type="connector" idref="#_x0000_s1035"/>
        <o:r id="V:Rule36" type="connector" idref="#_x0000_s1082"/>
        <o:r id="V:Rule37" type="connector" idref="#_x0000_s1038"/>
        <o:r id="V:Rule38" type="connector" idref="#_x0000_s1042"/>
        <o:r id="V:Rule39" type="connector" idref="#_x0000_s1036"/>
        <o:r id="V:Rule40" type="connector" idref="#_x0000_s1028"/>
        <o:r id="V:Rule41" type="connector" idref="#_x0000_s1081"/>
        <o:r id="V:Rule42" type="connector" idref="#_x0000_s1053"/>
        <o:r id="V:Rule43" type="connector" idref="#_x0000_s1080"/>
        <o:r id="V:Rule44" type="connector" idref="#_x0000_s1078"/>
        <o:r id="V:Rule45" type="connector" idref="#_x0000_s1039"/>
        <o:r id="V:Rule46" type="connector" idref="#_x0000_s1075"/>
        <o:r id="V:Rule47" type="connector" idref="#_x0000_s1027"/>
        <o:r id="V:Rule48" type="connector" idref="#_x0000_s1079"/>
        <o:r id="V:Rule49" type="connector" idref="#_x0000_s1050"/>
        <o:r id="V:Rule50" type="connector" idref="#_x0000_s1076"/>
        <o:r id="V:Rule51" type="connector" idref="#_x0000_s1083"/>
        <o:r id="V:Rule52" type="connector" idref="#_x0000_s1047"/>
        <o:r id="V:Rule53" type="connector" idref="#_x0000_s1048"/>
        <o:r id="V:Rule54" type="connector" idref="#_x0000_s1051"/>
        <o:r id="V:Rule55" type="connector" idref="#_x0000_s1044"/>
        <o:r id="V:Rule56" type="connector" idref="#_x0000_s1046"/>
        <o:r id="V:Rule57" type="connector" idref="#_x0000_s1049"/>
        <o:r id="V:Rule58" type="connector" idref="#_x0000_s1041"/>
        <o:r id="V:Rule59" type="connector" idref="#_x0000_s1037"/>
        <o:r id="V:Rule60" type="connector" idref="#_x0000_s1034"/>
        <o:r id="V:Rule61" type="connector" idref="#_x0000_s1077"/>
        <o:r id="V:Rule62" type="connector" idref="#_x0000_s1045"/>
        <o:r id="V:Rule63"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Times New Roman"/>
        <w:sz w:val="28"/>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65"/>
    <w:rPr>
      <w:rFonts w:cs="Simplified Arabic"/>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3265"/>
    <w:pPr>
      <w:ind w:left="720"/>
      <w:contextualSpacing/>
    </w:pPr>
  </w:style>
  <w:style w:type="paragraph" w:styleId="Textedebulles">
    <w:name w:val="Balloon Text"/>
    <w:basedOn w:val="Normal"/>
    <w:link w:val="TextedebullesCar"/>
    <w:uiPriority w:val="99"/>
    <w:semiHidden/>
    <w:unhideWhenUsed/>
    <w:rsid w:val="00BE32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32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587</Words>
  <Characters>3231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2020-04-04T19:10:00Z</dcterms:created>
  <dcterms:modified xsi:type="dcterms:W3CDTF">2020-04-04T21:36:00Z</dcterms:modified>
</cp:coreProperties>
</file>