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D3" w:rsidRPr="005D622A" w:rsidRDefault="00294DD3" w:rsidP="00294DD3">
      <w:pPr>
        <w:bidi/>
        <w:spacing w:after="0"/>
        <w:jc w:val="center"/>
        <w:rPr>
          <w:rFonts w:asciiTheme="majorBidi" w:eastAsia="Times New Roman" w:hAnsiTheme="majorBidi" w:cstheme="majorBidi"/>
          <w:b/>
          <w:bCs/>
          <w:sz w:val="44"/>
          <w:szCs w:val="44"/>
          <w:u w:val="single"/>
          <w:rtl/>
          <w:lang w:eastAsia="fr-FR"/>
        </w:rPr>
      </w:pPr>
      <w:r w:rsidRPr="005D622A">
        <w:rPr>
          <w:rFonts w:asciiTheme="majorBidi" w:eastAsia="Times New Roman" w:hAnsiTheme="majorBidi" w:cstheme="majorBidi"/>
          <w:b/>
          <w:bCs/>
          <w:sz w:val="44"/>
          <w:szCs w:val="44"/>
          <w:u w:val="single"/>
          <w:rtl/>
          <w:lang w:eastAsia="fr-FR"/>
        </w:rPr>
        <w:t>المساق : التخطيط للعلاقات العامة</w:t>
      </w:r>
    </w:p>
    <w:p w:rsidR="00294DD3" w:rsidRPr="005D622A" w:rsidRDefault="00294DD3" w:rsidP="00294DD3">
      <w:pPr>
        <w:bidi/>
        <w:spacing w:after="0"/>
        <w:jc w:val="center"/>
        <w:rPr>
          <w:rFonts w:asciiTheme="majorBidi" w:eastAsia="Times New Roman" w:hAnsiTheme="majorBidi" w:cstheme="majorBidi"/>
          <w:b/>
          <w:bCs/>
          <w:sz w:val="44"/>
          <w:szCs w:val="44"/>
          <w:u w:val="single"/>
          <w:rtl/>
          <w:lang w:eastAsia="fr-FR"/>
        </w:rPr>
      </w:pPr>
      <w:r w:rsidRPr="005D622A">
        <w:rPr>
          <w:rFonts w:asciiTheme="majorBidi" w:eastAsia="Times New Roman" w:hAnsiTheme="majorBidi" w:cstheme="majorBidi"/>
          <w:b/>
          <w:bCs/>
          <w:sz w:val="44"/>
          <w:szCs w:val="44"/>
          <w:u w:val="single"/>
          <w:rtl/>
          <w:lang w:eastAsia="fr-FR"/>
        </w:rPr>
        <w:t xml:space="preserve">السنة اولى ماستر </w:t>
      </w:r>
    </w:p>
    <w:p w:rsidR="00294DD3" w:rsidRPr="005D622A" w:rsidRDefault="00294DD3" w:rsidP="00294DD3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294DD3" w:rsidRPr="005D622A" w:rsidRDefault="00294DD3" w:rsidP="00294DD3">
      <w:pPr>
        <w:pStyle w:val="NormalWeb"/>
        <w:bidi/>
        <w:spacing w:before="0" w:beforeAutospacing="0" w:after="0" w:afterAutospacing="0" w:line="276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5D622A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rtl/>
          <w:lang w:bidi="ar-JO"/>
        </w:rPr>
        <w:t>مقدمة</w:t>
      </w:r>
    </w:p>
    <w:p w:rsidR="00294DD3" w:rsidRPr="005D622A" w:rsidRDefault="00294DD3" w:rsidP="00294DD3">
      <w:pPr>
        <w:pStyle w:val="NormalWeb"/>
        <w:bidi/>
        <w:spacing w:before="0" w:beforeAutospacing="0" w:after="0" w:afterAutospacing="0" w:line="276" w:lineRule="auto"/>
        <w:textAlignment w:val="baseline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</w:pP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-  تعتبر العلاقات العامة من المواضيع الحديثة نسبيا</w:t>
      </w:r>
      <w:r w:rsidRPr="005D622A">
        <w:rPr>
          <w:rFonts w:asciiTheme="majorBidi" w:hAnsiTheme="majorBidi" w:cstheme="majorBidi"/>
          <w:sz w:val="28"/>
          <w:szCs w:val="28"/>
          <w:rtl/>
        </w:rPr>
        <w:t xml:space="preserve"> ، 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اذ  أصبحت تحظى باهتمام الحكومات بالإضافة إلى اهتمام الشركات والمؤسسات الخاصة</w:t>
      </w:r>
      <w:r w:rsidRPr="005D622A">
        <w:rPr>
          <w:rFonts w:asciiTheme="majorBidi" w:hAnsiTheme="majorBidi" w:cstheme="majorBidi"/>
          <w:sz w:val="28"/>
          <w:szCs w:val="28"/>
          <w:rtl/>
        </w:rPr>
        <w:t xml:space="preserve"> فالعلاقات 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 xml:space="preserve"> العامة هي حلقة الوصل بين المؤسسة أو الشركة وجماهيرها</w:t>
      </w:r>
      <w:r w:rsidRPr="005D622A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ولا يمكن للم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</w:rPr>
        <w:t>ؤ</w:t>
      </w:r>
      <w:proofErr w:type="spellStart"/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سسة</w:t>
      </w:r>
      <w:proofErr w:type="spellEnd"/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 xml:space="preserve"> أو الشركة من تأدية مهامها وبالتالي تحقيق أهدافها دون وجود ثقة متبادلة بينها وبين جمهورها  وفق هذا المفهوم العلاقات العامة 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</w:rPr>
        <w:t>(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هي فن التعامل مع الجمهور بهدف اكتساب رضاهم وقبولهم وتأييدهم لذلك لا بد وان تقوم العلاقات على برنامج مخطط وقائم على أساس سلوك ا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</w:rPr>
        <w:t>لجمهور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 xml:space="preserve"> ودراسة اتجاهاتهم دراسة واعية وشاملة .</w:t>
      </w:r>
    </w:p>
    <w:p w:rsidR="00294DD3" w:rsidRPr="005D622A" w:rsidRDefault="00294DD3" w:rsidP="00294DD3">
      <w:pPr>
        <w:pStyle w:val="NormalWeb"/>
        <w:bidi/>
        <w:spacing w:before="0" w:beforeAutospacing="0" w:after="0" w:afterAutospacing="0" w:line="276" w:lineRule="auto"/>
        <w:textAlignment w:val="baseline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</w:pPr>
      <w:r w:rsidRPr="005D622A">
        <w:rPr>
          <w:rFonts w:asciiTheme="majorBidi" w:hAnsiTheme="majorBidi" w:cstheme="majorBidi"/>
          <w:sz w:val="28"/>
          <w:szCs w:val="28"/>
          <w:rtl/>
          <w:lang w:bidi="ar-JO"/>
        </w:rPr>
        <w:t xml:space="preserve">و 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 xml:space="preserve">يرى </w:t>
      </w:r>
      <w:proofErr w:type="gramStart"/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البعض  أن</w:t>
      </w:r>
      <w:proofErr w:type="gramEnd"/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 xml:space="preserve"> العلاقات العامة لا تقتصر في مجالاتها وأهدافها واهتمامها على علاقة المنظمات الإدارية بالبيئة الخارجية  بل تشمل نشاطها داخل المنظمة لتعمل على تحقيق التناسق والانسجام الداخلي وذلك كأولوية </w:t>
      </w:r>
      <w:r w:rsidRPr="005D622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D622A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  <w:t>أولى من وظائف العلاقات العامة.</w:t>
      </w:r>
    </w:p>
    <w:p w:rsidR="00294DD3" w:rsidRPr="005D622A" w:rsidRDefault="00294DD3" w:rsidP="00294DD3">
      <w:pPr>
        <w:pStyle w:val="NormalWeb"/>
        <w:bidi/>
        <w:spacing w:before="0" w:beforeAutospacing="0" w:after="0" w:afterAutospacing="0" w:line="276" w:lineRule="auto"/>
        <w:textAlignment w:val="baseline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rtl/>
          <w:lang w:bidi="ar-JO"/>
        </w:rPr>
      </w:pPr>
    </w:p>
    <w:tbl>
      <w:tblPr>
        <w:bidiVisual/>
        <w:tblW w:w="10207" w:type="dxa"/>
        <w:tblInd w:w="-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294DD3" w:rsidRPr="007E39F8" w:rsidTr="00141098">
        <w:trPr>
          <w:trHeight w:val="1140"/>
        </w:trPr>
        <w:tc>
          <w:tcPr>
            <w:tcW w:w="10207" w:type="dxa"/>
            <w:shd w:val="clear" w:color="auto" w:fill="FBD4B4" w:themeFill="accent6" w:themeFillTint="66"/>
          </w:tcPr>
          <w:p w:rsidR="00294DD3" w:rsidRDefault="00294DD3" w:rsidP="00141098">
            <w:pPr>
              <w:pStyle w:val="NormalWeb"/>
              <w:kinsoku w:val="0"/>
              <w:overflowPunct w:val="0"/>
              <w:bidi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bidi="ar-JO"/>
              </w:rPr>
            </w:pPr>
            <w:r w:rsidRPr="007E39F8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highlight w:val="darkCyan"/>
                <w:u w:val="double"/>
                <w:rtl/>
                <w:lang w:bidi="ar-JO"/>
              </w:rPr>
              <w:t>للتذكير :تناولنا  خلال السداسي الاول</w:t>
            </w:r>
            <w:r w:rsidRPr="007E39F8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bidi="ar-JO"/>
              </w:rPr>
              <w:t xml:space="preserve"> :مفهوم العلاقات العامة  واهم التعاريف و الاتجاهات </w:t>
            </w:r>
            <w:r>
              <w:rPr>
                <w:rFonts w:asciiTheme="majorBidi" w:eastAsiaTheme="minorEastAsia" w:hAnsiTheme="majorBidi" w:cstheme="majorBidi" w:hint="cs"/>
                <w:color w:val="000000" w:themeColor="text1"/>
                <w:kern w:val="24"/>
                <w:sz w:val="28"/>
                <w:szCs w:val="28"/>
                <w:rtl/>
                <w:lang w:bidi="ar-JO"/>
              </w:rPr>
              <w:t xml:space="preserve"> السائدة </w:t>
            </w:r>
          </w:p>
          <w:p w:rsidR="00294DD3" w:rsidRDefault="00294DD3" w:rsidP="00141098">
            <w:pPr>
              <w:pStyle w:val="NormalWeb"/>
              <w:kinsoku w:val="0"/>
              <w:overflowPunct w:val="0"/>
              <w:bidi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</w:rPr>
            </w:pPr>
            <w:r w:rsidRPr="007E39F8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bidi="ar-JO"/>
              </w:rPr>
              <w:t xml:space="preserve">و اسباب </w:t>
            </w:r>
            <w:proofErr w:type="spellStart"/>
            <w:r w:rsidRPr="007E39F8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bidi="ar-JO"/>
              </w:rPr>
              <w:t>النشاة</w:t>
            </w:r>
            <w:proofErr w:type="spellEnd"/>
            <w:r w:rsidRPr="007E39F8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bidi="ar-JO"/>
              </w:rPr>
              <w:t xml:space="preserve">  و</w:t>
            </w:r>
            <w:r w:rsidRPr="007E39F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ظهور مفهوم العلاقات الإنسانية تاريخيا ومدى ارتباط  ذلك بتطور الصناعي والتسويق التجاري و الخدماتي وزاد في انتشار ذلك  الطفرة التكنولوجية  التي ساهمت في توسيع المجال وقد سبق ان تعرفنا على الاهداف ووظائف العلاقات العامة واهم السمات و الميزات التي يجب ان يتحلى  بها العاملون المكلفون في ادارة او مكتب العلاقات العامة </w:t>
            </w:r>
            <w:r w:rsidRPr="007E39F8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</w:rPr>
              <w:t>وبالتالي فان العمل داخل العلاقات العامة يحتاج الى قدرات ومواهب متعددة حتى يتسنى للفرد النجاح والتميز داخل العلاقات العامة .</w:t>
            </w:r>
          </w:p>
          <w:p w:rsidR="00294DD3" w:rsidRPr="007E39F8" w:rsidRDefault="00294DD3" w:rsidP="00141098">
            <w:pPr>
              <w:pStyle w:val="NormalWeb"/>
              <w:kinsoku w:val="0"/>
              <w:overflowPunct w:val="0"/>
              <w:bidi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+mn-ea" w:hAnsiTheme="majorBidi" w:cstheme="majorBidi" w:hint="cs"/>
                <w:color w:val="000000"/>
                <w:kern w:val="24"/>
                <w:sz w:val="28"/>
                <w:szCs w:val="28"/>
                <w:rtl/>
              </w:rPr>
              <w:t xml:space="preserve">    </w:t>
            </w:r>
            <w:proofErr w:type="gramStart"/>
            <w:r w:rsidRPr="007E39F8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</w:rPr>
              <w:t>كما</w:t>
            </w:r>
            <w:proofErr w:type="gramEnd"/>
            <w:r w:rsidRPr="007E39F8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</w:rPr>
              <w:t xml:space="preserve"> إن النجاح في اختيار العاملين في أجهزة العلاقات العامة يتوقف أساساً على الفهم الواضح لم تتوقعه المؤسسة من هذه الأجهزة ومن العاملين فيها. </w:t>
            </w:r>
            <w:proofErr w:type="gramStart"/>
            <w:r w:rsidRPr="007E39F8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</w:rPr>
              <w:t>وهذا</w:t>
            </w:r>
            <w:proofErr w:type="gramEnd"/>
            <w:r w:rsidRPr="007E39F8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</w:rPr>
              <w:t xml:space="preserve"> التوقع يمثل الهدف الذي يجب أن يؤخذ بعين الاعتبار عند إعداد الخطط والبرامج الخاصة بإمداد جهاز العلاقات العامة بالعاملين ذوي المقدرة والكفاءة.</w:t>
            </w:r>
          </w:p>
          <w:p w:rsidR="00294DD3" w:rsidRPr="007E39F8" w:rsidRDefault="00294DD3" w:rsidP="00141098">
            <w:pPr>
              <w:kinsoku w:val="0"/>
              <w:overflowPunct w:val="0"/>
              <w:bidi/>
              <w:spacing w:after="0"/>
              <w:jc w:val="both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7E39F8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/>
              </w:rPr>
              <w:t xml:space="preserve"> أما بالنسبة لعدد العاملين فلا يخضع لقانون أو لقواعد ثابتة فعددهم يتوقف على حجم المؤسسة أولاً وحجم ادارة العلاقات العامة  وطبيعتها هذا الجهاز من حيث البساطة والتعقيد وأهدافه وخططه.</w:t>
            </w:r>
          </w:p>
          <w:p w:rsidR="00294DD3" w:rsidRPr="007E39F8" w:rsidRDefault="00294DD3" w:rsidP="00141098">
            <w:pPr>
              <w:pStyle w:val="NormalWeb"/>
              <w:bidi/>
              <w:spacing w:before="0" w:after="0" w:line="276" w:lineRule="auto"/>
              <w:ind w:left="15"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E39F8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.</w:t>
            </w:r>
          </w:p>
          <w:p w:rsidR="00294DD3" w:rsidRPr="007E39F8" w:rsidRDefault="00294DD3" w:rsidP="00141098">
            <w:pPr>
              <w:pStyle w:val="NormalWeb"/>
              <w:bidi/>
              <w:spacing w:before="0" w:after="0" w:line="276" w:lineRule="auto"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:rsidR="00294DD3" w:rsidRPr="005D622A" w:rsidRDefault="00294DD3" w:rsidP="00294DD3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tbl>
      <w:tblPr>
        <w:bidiVisual/>
        <w:tblW w:w="10424" w:type="dxa"/>
        <w:tblInd w:w="-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4"/>
      </w:tblGrid>
      <w:tr w:rsidR="00294DD3" w:rsidRPr="007E39F8" w:rsidTr="00141098">
        <w:trPr>
          <w:trHeight w:val="4965"/>
        </w:trPr>
        <w:tc>
          <w:tcPr>
            <w:tcW w:w="10424" w:type="dxa"/>
          </w:tcPr>
          <w:p w:rsidR="00294DD3" w:rsidRPr="00EE0EE7" w:rsidRDefault="00294DD3" w:rsidP="00141098">
            <w:pPr>
              <w:bidi/>
              <w:spacing w:after="0"/>
              <w:ind w:left="786"/>
              <w:contextualSpacing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</w:p>
          <w:p w:rsidR="00294DD3" w:rsidRPr="00EE0EE7" w:rsidRDefault="00294DD3" w:rsidP="00141098">
            <w:pPr>
              <w:bidi/>
              <w:spacing w:after="0"/>
              <w:ind w:left="786"/>
              <w:contextualSpacing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highlight w:val="darkCyan"/>
                <w:rtl/>
                <w:lang w:eastAsia="fr-FR"/>
              </w:rPr>
              <w:t xml:space="preserve">مراجعة </w:t>
            </w:r>
            <w:proofErr w:type="gramStart"/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highlight w:val="darkCyan"/>
                <w:rtl/>
                <w:lang w:eastAsia="fr-FR"/>
              </w:rPr>
              <w:t>عامة :</w:t>
            </w:r>
            <w:proofErr w:type="gramEnd"/>
          </w:p>
          <w:p w:rsidR="00294DD3" w:rsidRPr="00EE0EE7" w:rsidRDefault="00294DD3" w:rsidP="00141098">
            <w:pPr>
              <w:bidi/>
              <w:spacing w:after="0"/>
              <w:ind w:left="786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u w:val="double"/>
                <w:rtl/>
                <w:lang w:eastAsia="fr-FR"/>
              </w:rPr>
            </w:pPr>
            <w:proofErr w:type="gramStart"/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u w:val="double"/>
                <w:rtl/>
                <w:lang w:eastAsia="fr-FR"/>
              </w:rPr>
              <w:t>مراحل</w:t>
            </w:r>
            <w:proofErr w:type="gramEnd"/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u w:val="double"/>
                <w:rtl/>
                <w:lang w:eastAsia="fr-FR"/>
              </w:rPr>
              <w:t xml:space="preserve"> تطور العلاقات العامة</w:t>
            </w:r>
          </w:p>
          <w:p w:rsidR="00294DD3" w:rsidRPr="00EE0EE7" w:rsidRDefault="00294DD3" w:rsidP="00141098">
            <w:pPr>
              <w:bidi/>
              <w:spacing w:after="0"/>
              <w:ind w:left="786"/>
              <w:contextualSpacing/>
              <w:jc w:val="center"/>
              <w:textAlignment w:val="baseline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u w:val="double"/>
                <w:rtl/>
                <w:lang w:eastAsia="fr-FR"/>
              </w:rPr>
            </w:pPr>
          </w:p>
          <w:p w:rsidR="00294DD3" w:rsidRPr="00C656C5" w:rsidRDefault="00294DD3" w:rsidP="00141098">
            <w:pPr>
              <w:bidi/>
              <w:spacing w:after="0"/>
              <w:contextualSpacing/>
              <w:textAlignment w:val="baseline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u w:val="double"/>
                <w:lang w:eastAsia="fr-FR"/>
              </w:rPr>
            </w:pPr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u w:val="double"/>
                <w:rtl/>
                <w:lang w:eastAsia="fr-FR"/>
              </w:rPr>
              <w:t>1</w:t>
            </w:r>
            <w:r w:rsidRPr="00EE0EE7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 xml:space="preserve">-نموذج </w:t>
            </w:r>
            <w:proofErr w:type="gramStart"/>
            <w:r w:rsidRPr="00EE0EE7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 xml:space="preserve">النشر </w:t>
            </w:r>
            <w:r w:rsidRPr="00C656C5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highlight w:val="cyan"/>
                <w:rtl/>
                <w:lang w:eastAsia="fr-FR" w:bidi="ar-JO"/>
              </w:rPr>
              <w:t>:</w:t>
            </w:r>
            <w:proofErr w:type="gramEnd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/>
              </w:rPr>
              <w:t xml:space="preserve">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ظهر في القرن التاسع عشر</w:t>
            </w:r>
            <w:r w:rsidRPr="00EE0EE7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rtl/>
                <w:lang w:eastAsia="fr-FR" w:bidi="ar-JO"/>
              </w:rPr>
              <w:t xml:space="preserve">، من سماته ،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اتصال باتجاه واحد من المنظمة إلى الجمهور</w:t>
            </w:r>
            <w:r w:rsidRPr="00EE0EE7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rtl/>
                <w:lang w:eastAsia="fr-FR" w:bidi="ar-JO"/>
              </w:rPr>
              <w:t xml:space="preserve"> ،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الهدف خلق شهرة ودعاية للمنظمة</w:t>
            </w:r>
            <w:r w:rsidRPr="00EE0EE7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rtl/>
                <w:lang w:eastAsia="fr-FR" w:bidi="ar-JO"/>
              </w:rPr>
              <w:t xml:space="preserve"> ،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معلومات غير كاملة (أنصاف الحقائق) لخداع الجمهور</w:t>
            </w:r>
          </w:p>
          <w:p w:rsidR="00294DD3" w:rsidRPr="00C656C5" w:rsidRDefault="00294DD3" w:rsidP="00141098">
            <w:pPr>
              <w:bidi/>
              <w:spacing w:after="0"/>
              <w:textAlignment w:val="baseline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eastAsia="fr-FR"/>
              </w:rPr>
            </w:pP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>2</w:t>
            </w:r>
            <w:r w:rsidRPr="00EE0EE7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>)نموذج ال</w:t>
            </w:r>
            <w:r w:rsidRPr="00EE0EE7">
              <w:rPr>
                <w:rFonts w:asciiTheme="majorBidi" w:eastAsia="+mn-ea" w:hAnsiTheme="majorBidi" w:cstheme="majorBidi" w:hint="cs"/>
                <w:color w:val="FF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>ابلاغ</w:t>
            </w:r>
            <w:r w:rsidRPr="00EE0EE7">
              <w:rPr>
                <w:rFonts w:asciiTheme="majorBidi" w:eastAsia="+mn-ea" w:hAnsiTheme="majorBidi" w:cstheme="majorBidi" w:hint="cs"/>
                <w:color w:val="FF0000"/>
                <w:kern w:val="24"/>
                <w:sz w:val="28"/>
                <w:szCs w:val="28"/>
                <w:u w:val="single"/>
                <w:rtl/>
                <w:lang w:eastAsia="fr-FR" w:bidi="ar-JO"/>
              </w:rPr>
              <w:t xml:space="preserve"> </w:t>
            </w:r>
            <w:r w:rsidRPr="00C656C5">
              <w:rPr>
                <w:rFonts w:asciiTheme="majorBidi" w:eastAsia="+mn-ea" w:hAnsiTheme="majorBidi" w:cstheme="majorBidi"/>
                <w:color w:val="FF0000"/>
                <w:kern w:val="24"/>
                <w:sz w:val="28"/>
                <w:szCs w:val="28"/>
                <w:u w:val="single"/>
                <w:rtl/>
                <w:lang w:eastAsia="fr-FR" w:bidi="ar-JO"/>
              </w:rPr>
              <w:t xml:space="preserve"> </w:t>
            </w:r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rtl/>
                <w:lang w:eastAsia="fr-FR"/>
              </w:rPr>
              <w:t xml:space="preserve"> :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ظهر في بداية القرن العشرين</w:t>
            </w:r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rtl/>
                <w:lang w:eastAsia="fr-FR"/>
              </w:rPr>
              <w:t xml:space="preserve"> ،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استند على نشر الأخبار للجماهير</w:t>
            </w:r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rtl/>
                <w:lang w:eastAsia="fr-FR"/>
              </w:rPr>
              <w:t xml:space="preserve">،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اتجاه واحد من المنظمة إلى الجمهور</w:t>
            </w:r>
            <w:r w:rsidRPr="00EE0EE7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rtl/>
                <w:lang w:eastAsia="fr-FR"/>
              </w:rPr>
              <w:t xml:space="preserve">،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معلومات حقيقة عن المنظمة من حيث السياسات والنشاطات </w:t>
            </w:r>
          </w:p>
          <w:p w:rsidR="00294DD3" w:rsidRPr="00C656C5" w:rsidRDefault="00294DD3" w:rsidP="00141098">
            <w:pPr>
              <w:bidi/>
              <w:spacing w:after="0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rtl/>
                <w:lang w:eastAsia="fr-FR" w:bidi="ar-JO"/>
              </w:rPr>
              <w:t xml:space="preserve">3)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 xml:space="preserve">النموذج </w:t>
            </w:r>
            <w:proofErr w:type="spellStart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>اللا</w:t>
            </w:r>
            <w:proofErr w:type="spellEnd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u w:val="single"/>
                <w:rtl/>
                <w:lang w:eastAsia="fr-FR"/>
              </w:rPr>
              <w:t xml:space="preserve">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>تناسق بالاتجاهين: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 ظهر في بداية القرن العشرين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،كان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الاتصال من المنظمة إلى الجمهور الداخلي والخارجي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،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الاتصال من الجماهير إلى المنظمة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،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الهدف إقناع الجمهور لمصلحة المنظمة 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عدم التعديل على السياسات والبرامج حسب رغبات الجمهور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،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عدم محاولة التعديل على سلوك الجماهير بشكل يخدم المنظمة فعليا</w:t>
            </w:r>
          </w:p>
          <w:p w:rsidR="00294DD3" w:rsidRPr="00C656C5" w:rsidRDefault="00294DD3" w:rsidP="00141098">
            <w:pPr>
              <w:bidi/>
              <w:spacing w:after="0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highlight w:val="cyan"/>
                <w:u w:val="single"/>
                <w:rtl/>
                <w:lang w:eastAsia="fr-FR" w:bidi="ar-JO"/>
              </w:rPr>
              <w:t>4)النموذج المتناسق باتجاهين: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ظهر في بداية الستينات من القرن </w:t>
            </w:r>
            <w:proofErr w:type="gramStart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الماضي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،</w:t>
            </w:r>
            <w:proofErr w:type="gramEnd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العلاقات العامة هي الأساس في هذا النموذج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/>
              </w:rPr>
              <w:t>بين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 المنظمة وجمهورها</w:t>
            </w:r>
            <w:r w:rsidRPr="00EE0EE7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  <w:t xml:space="preserve"> ، 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الاتصال ذو اتجاهين من ال</w:t>
            </w:r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/>
              </w:rPr>
              <w:t>م</w:t>
            </w:r>
            <w:proofErr w:type="spellStart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نظمة</w:t>
            </w:r>
            <w:proofErr w:type="spellEnd"/>
            <w:r w:rsidRPr="00C656C5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 إلى الجمهور ومن الجمهور إلى المنظمة</w:t>
            </w:r>
          </w:p>
          <w:p w:rsidR="00294DD3" w:rsidRPr="00EE0EE7" w:rsidRDefault="00294DD3" w:rsidP="00141098">
            <w:pPr>
              <w:bidi/>
              <w:spacing w:after="0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EE0EE7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 xml:space="preserve">تأثير للعلاقات العامة على الجمهور وتأثير للجمهور على المنظمة وسياساتها وأنشطتها من خلال التعديل </w:t>
            </w:r>
            <w:proofErr w:type="gramStart"/>
            <w:r w:rsidRPr="00EE0EE7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والتطوير</w:t>
            </w:r>
            <w:proofErr w:type="gramEnd"/>
            <w:r w:rsidRPr="00EE0EE7">
              <w:rPr>
                <w:rFonts w:asciiTheme="majorBidi" w:eastAsia="+mn-ea" w:hAnsiTheme="majorBidi" w:cstheme="majorBidi"/>
                <w:color w:val="000000"/>
                <w:kern w:val="24"/>
                <w:sz w:val="28"/>
                <w:szCs w:val="28"/>
                <w:rtl/>
                <w:lang w:eastAsia="fr-FR" w:bidi="ar-JO"/>
              </w:rPr>
              <w:t>.</w:t>
            </w:r>
          </w:p>
        </w:tc>
      </w:tr>
    </w:tbl>
    <w:p w:rsidR="00294DD3" w:rsidRPr="005D622A" w:rsidRDefault="00294DD3" w:rsidP="00294DD3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tbl>
      <w:tblPr>
        <w:bidiVisual/>
        <w:tblW w:w="10275" w:type="dxa"/>
        <w:tblInd w:w="-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294DD3" w:rsidRPr="007E39F8" w:rsidTr="00141098">
        <w:trPr>
          <w:trHeight w:val="4410"/>
        </w:trPr>
        <w:tc>
          <w:tcPr>
            <w:tcW w:w="10275" w:type="dxa"/>
          </w:tcPr>
          <w:p w:rsidR="00294DD3" w:rsidRDefault="00294DD3" w:rsidP="00141098">
            <w:pPr>
              <w:kinsoku w:val="0"/>
              <w:overflowPunct w:val="0"/>
              <w:bidi/>
              <w:spacing w:after="0" w:line="240" w:lineRule="auto"/>
              <w:textAlignment w:val="baseline"/>
              <w:rPr>
                <w:rFonts w:ascii="Arial" w:eastAsia="+mn-ea" w:hAnsi="Arial" w:cs="Arial"/>
                <w:color w:val="000000"/>
                <w:kern w:val="24"/>
                <w:sz w:val="32"/>
                <w:szCs w:val="32"/>
                <w:u w:val="single"/>
                <w:rtl/>
                <w:lang w:eastAsia="fr-FR"/>
              </w:rPr>
            </w:pPr>
            <w:r w:rsidRPr="007E39F8">
              <w:rPr>
                <w:rFonts w:ascii="Arial" w:eastAsia="+mn-ea" w:hAnsi="Arial" w:cs="Arial" w:hint="cs"/>
                <w:color w:val="000000"/>
                <w:kern w:val="24"/>
                <w:sz w:val="32"/>
                <w:szCs w:val="32"/>
                <w:highlight w:val="darkCyan"/>
                <w:u w:val="single"/>
                <w:rtl/>
                <w:lang w:eastAsia="fr-FR"/>
              </w:rPr>
              <w:t xml:space="preserve">مراجعة </w:t>
            </w:r>
            <w:proofErr w:type="gramStart"/>
            <w:r w:rsidRPr="007E39F8">
              <w:rPr>
                <w:rFonts w:ascii="Arial" w:eastAsia="+mn-ea" w:hAnsi="Arial" w:cs="Arial" w:hint="cs"/>
                <w:color w:val="000000"/>
                <w:kern w:val="24"/>
                <w:sz w:val="32"/>
                <w:szCs w:val="32"/>
                <w:highlight w:val="darkCyan"/>
                <w:u w:val="single"/>
                <w:rtl/>
                <w:lang w:eastAsia="fr-FR"/>
              </w:rPr>
              <w:t>عامة</w:t>
            </w:r>
            <w:r>
              <w:rPr>
                <w:rFonts w:ascii="Arial" w:eastAsia="+mn-ea" w:hAnsi="Arial" w:cs="Arial" w:hint="cs"/>
                <w:color w:val="000000"/>
                <w:kern w:val="24"/>
                <w:sz w:val="32"/>
                <w:szCs w:val="32"/>
                <w:u w:val="single"/>
                <w:rtl/>
                <w:lang w:eastAsia="fr-FR"/>
              </w:rPr>
              <w:t xml:space="preserve"> </w:t>
            </w:r>
            <w:r w:rsidRPr="007E39F8">
              <w:rPr>
                <w:rFonts w:ascii="Arial" w:eastAsia="+mn-ea" w:hAnsi="Arial" w:cs="Arial" w:hint="cs"/>
                <w:color w:val="000000"/>
                <w:kern w:val="24"/>
                <w:sz w:val="32"/>
                <w:szCs w:val="32"/>
                <w:u w:val="single"/>
                <w:rtl/>
                <w:lang w:eastAsia="fr-FR"/>
              </w:rPr>
              <w:t>:</w:t>
            </w:r>
            <w:proofErr w:type="gramEnd"/>
          </w:p>
          <w:p w:rsidR="00294DD3" w:rsidRPr="007E39F8" w:rsidRDefault="00294DD3" w:rsidP="00141098">
            <w:pPr>
              <w:kinsoku w:val="0"/>
              <w:overflowPunct w:val="0"/>
              <w:bidi/>
              <w:spacing w:after="0" w:line="240" w:lineRule="auto"/>
              <w:textAlignment w:val="baseline"/>
              <w:rPr>
                <w:rFonts w:ascii="Arial" w:eastAsia="+mn-ea" w:hAnsi="Arial" w:cs="Arial"/>
                <w:color w:val="FF0000"/>
                <w:kern w:val="24"/>
                <w:sz w:val="32"/>
                <w:szCs w:val="32"/>
                <w:u w:val="double"/>
                <w:rtl/>
                <w:lang w:eastAsia="fr-FR"/>
              </w:rPr>
            </w:pPr>
            <w:r w:rsidRPr="007E39F8">
              <w:rPr>
                <w:rFonts w:ascii="Arial" w:eastAsia="+mn-ea" w:hAnsi="Arial" w:cs="Arial" w:hint="cs"/>
                <w:color w:val="FF0000"/>
                <w:kern w:val="24"/>
                <w:sz w:val="32"/>
                <w:szCs w:val="32"/>
                <w:u w:val="double"/>
                <w:rtl/>
                <w:lang w:eastAsia="fr-FR"/>
              </w:rPr>
              <w:t xml:space="preserve">سمات </w:t>
            </w:r>
            <w:proofErr w:type="gramStart"/>
            <w:r w:rsidRPr="007E39F8">
              <w:rPr>
                <w:rFonts w:ascii="Arial" w:eastAsia="+mn-ea" w:hAnsi="Arial" w:cs="Arial" w:hint="cs"/>
                <w:color w:val="FF0000"/>
                <w:kern w:val="24"/>
                <w:sz w:val="32"/>
                <w:szCs w:val="32"/>
                <w:u w:val="double"/>
                <w:rtl/>
                <w:lang w:eastAsia="fr-FR"/>
              </w:rPr>
              <w:t xml:space="preserve">التي </w:t>
            </w:r>
            <w:r w:rsidRPr="00BD744F">
              <w:rPr>
                <w:rFonts w:ascii="Arial" w:eastAsia="+mn-ea" w:hAnsi="Arial" w:cs="Arial"/>
                <w:color w:val="FF0000"/>
                <w:kern w:val="24"/>
                <w:sz w:val="32"/>
                <w:szCs w:val="32"/>
                <w:u w:val="double"/>
                <w:rtl/>
                <w:lang w:eastAsia="fr-FR"/>
              </w:rPr>
              <w:t xml:space="preserve"> يجب</w:t>
            </w:r>
            <w:proofErr w:type="gramEnd"/>
            <w:r w:rsidRPr="00BD744F">
              <w:rPr>
                <w:rFonts w:ascii="Arial" w:eastAsia="+mn-ea" w:hAnsi="Arial" w:cs="Arial"/>
                <w:color w:val="FF0000"/>
                <w:kern w:val="24"/>
                <w:sz w:val="32"/>
                <w:szCs w:val="32"/>
                <w:u w:val="double"/>
                <w:rtl/>
                <w:lang w:eastAsia="fr-FR"/>
              </w:rPr>
              <w:t xml:space="preserve"> توافرها في العاملون بجهاز العلاقات العامة </w:t>
            </w:r>
          </w:p>
          <w:p w:rsidR="00294DD3" w:rsidRPr="00BD744F" w:rsidRDefault="00294DD3" w:rsidP="00141098">
            <w:pPr>
              <w:kinsoku w:val="0"/>
              <w:overflowPunct w:val="0"/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1- التخصص العلمي ذوى </w:t>
            </w:r>
            <w:proofErr w:type="gramStart"/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>الصلة</w:t>
            </w:r>
            <w:proofErr w:type="gramEnd"/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 بالعمل في مجال العلاقات العامة </w:t>
            </w:r>
          </w:p>
          <w:p w:rsidR="00294DD3" w:rsidRPr="00BD744F" w:rsidRDefault="00294DD3" w:rsidP="00141098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>2- الالمام بقواعد العلوم السلوكية والاجتماعية بشكل واضح</w:t>
            </w:r>
          </w:p>
          <w:p w:rsidR="00294DD3" w:rsidRPr="00BD744F" w:rsidRDefault="00294DD3" w:rsidP="00141098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3- القدرة على التعامل مع الانماط الشخصية المختلفة </w:t>
            </w:r>
          </w:p>
          <w:p w:rsidR="00294DD3" w:rsidRPr="00BD744F" w:rsidRDefault="00294DD3" w:rsidP="00141098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4- توافر المهارات الادارية مثل القدرة على التخطيط ووضع الاهداف </w:t>
            </w:r>
            <w:proofErr w:type="spellStart"/>
            <w:r w:rsidRPr="00BD744F">
              <w:rPr>
                <w:rFonts w:ascii="Times New Roman" w:eastAsia="+mn-ea" w:hAnsi="Arial" w:cs="Arial"/>
                <w:color w:val="000000"/>
                <w:kern w:val="24"/>
                <w:sz w:val="32"/>
                <w:szCs w:val="32"/>
                <w:rtl/>
                <w:lang w:eastAsia="fr-FR"/>
              </w:rPr>
              <w:t>والتظيم</w:t>
            </w:r>
            <w:proofErr w:type="spellEnd"/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 والتوجيه</w:t>
            </w:r>
          </w:p>
          <w:p w:rsidR="00294DD3" w:rsidRPr="00BD744F" w:rsidRDefault="00294DD3" w:rsidP="00141098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5- القدرة على تنظيم الاجتماعات والحفلات وغيرها من الامور المجتمعية </w:t>
            </w:r>
          </w:p>
          <w:p w:rsidR="00294DD3" w:rsidRPr="00BD744F" w:rsidRDefault="00294DD3" w:rsidP="00141098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6- </w:t>
            </w:r>
            <w:proofErr w:type="gramStart"/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>القدرة</w:t>
            </w:r>
            <w:proofErr w:type="gramEnd"/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 على تحليل وتفسير الاتجاهات ولو بشكل بسيط </w:t>
            </w:r>
          </w:p>
          <w:p w:rsidR="00294DD3" w:rsidRPr="00BD744F" w:rsidRDefault="00294DD3" w:rsidP="00141098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color w:val="000000"/>
                <w:kern w:val="24"/>
                <w:sz w:val="32"/>
                <w:szCs w:val="32"/>
                <w:rtl/>
                <w:lang w:eastAsia="fr-FR"/>
              </w:rPr>
              <w:t>7- الالمام بقواعد البحث العلمي والدراسات في المجال الانساني .</w:t>
            </w:r>
          </w:p>
          <w:p w:rsidR="00294DD3" w:rsidRPr="00BD744F" w:rsidRDefault="00294DD3" w:rsidP="00141098">
            <w:pPr>
              <w:kinsoku w:val="0"/>
              <w:overflowPunct w:val="0"/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BD744F">
              <w:rPr>
                <w:rFonts w:ascii="Times New Roman" w:eastAsia="+mn-ea" w:hAnsi="Times New Roman" w:cs="Arial"/>
                <w:b/>
                <w:bCs/>
                <w:color w:val="000000"/>
                <w:kern w:val="24"/>
                <w:sz w:val="32"/>
                <w:szCs w:val="32"/>
                <w:rtl/>
                <w:lang w:eastAsia="fr-FR"/>
              </w:rPr>
              <w:t xml:space="preserve">  </w:t>
            </w:r>
            <w:r w:rsidRPr="00BD744F">
              <w:rPr>
                <w:rFonts w:ascii="Times New Roman" w:eastAsia="+mn-ea" w:hAnsi="Arial" w:cs="Arial"/>
                <w:color w:val="000000"/>
                <w:kern w:val="24"/>
                <w:sz w:val="32"/>
                <w:szCs w:val="32"/>
                <w:rtl/>
                <w:lang w:eastAsia="fr-FR"/>
              </w:rPr>
              <w:t>وبالتالي فان العمل داخل العلاقات العامة يحتاج الى قدرات ومواهب متعددة حتى يتسنى للفرد النجاح والتميز داخل العلاقات العامة .</w:t>
            </w:r>
          </w:p>
          <w:p w:rsidR="00294DD3" w:rsidRPr="007E39F8" w:rsidRDefault="00294DD3" w:rsidP="00141098">
            <w:pPr>
              <w:bidi/>
              <w:spacing w:after="0"/>
              <w:ind w:left="555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fr-FR"/>
              </w:rPr>
            </w:pPr>
          </w:p>
        </w:tc>
      </w:tr>
    </w:tbl>
    <w:p w:rsidR="005A12DA" w:rsidRDefault="00294DD3">
      <w:bookmarkStart w:id="0" w:name="_GoBack"/>
      <w:bookmarkEnd w:id="0"/>
    </w:p>
    <w:sectPr w:rsidR="005A12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D3"/>
    <w:rsid w:val="00140D66"/>
    <w:rsid w:val="00294DD3"/>
    <w:rsid w:val="0079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D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D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2020-04-06T13:00:00Z</dcterms:created>
  <dcterms:modified xsi:type="dcterms:W3CDTF">2020-04-06T13:01:00Z</dcterms:modified>
</cp:coreProperties>
</file>