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5CC" w:rsidRPr="00711425" w:rsidRDefault="00346400" w:rsidP="00346400">
      <w:pPr>
        <w:ind w:firstLine="0"/>
        <w:rPr>
          <w:rFonts w:asciiTheme="majorHAnsi" w:hAnsiTheme="majorHAnsi"/>
          <w:sz w:val="28"/>
          <w:szCs w:val="28"/>
          <w:rtl/>
        </w:rPr>
      </w:pPr>
      <w:r w:rsidRPr="00711425">
        <w:rPr>
          <w:rFonts w:asciiTheme="majorHAnsi" w:hAnsiTheme="majorHAnsi"/>
        </w:rPr>
        <w:t xml:space="preserve">                                             </w:t>
      </w:r>
      <w:r w:rsidR="00B725CC" w:rsidRPr="00711425">
        <w:rPr>
          <w:rFonts w:asciiTheme="majorHAnsi" w:hAnsiTheme="majorHAnsi"/>
          <w:sz w:val="28"/>
          <w:szCs w:val="28"/>
        </w:rPr>
        <w:t xml:space="preserve">Université de </w:t>
      </w:r>
      <w:proofErr w:type="spellStart"/>
      <w:r w:rsidR="00B725CC" w:rsidRPr="00711425">
        <w:rPr>
          <w:rFonts w:asciiTheme="majorHAnsi" w:hAnsiTheme="majorHAnsi"/>
          <w:sz w:val="28"/>
          <w:szCs w:val="28"/>
        </w:rPr>
        <w:t>Khemis</w:t>
      </w:r>
      <w:proofErr w:type="spellEnd"/>
      <w:r w:rsidR="00B725CC" w:rsidRPr="00711425">
        <w:rPr>
          <w:rFonts w:asciiTheme="majorHAnsi" w:hAnsiTheme="majorHAnsi"/>
          <w:sz w:val="28"/>
          <w:szCs w:val="28"/>
        </w:rPr>
        <w:t>- Miliana</w:t>
      </w:r>
    </w:p>
    <w:p w:rsidR="00393DB0" w:rsidRDefault="00393DB0" w:rsidP="00B725CC">
      <w:pPr>
        <w:jc w:val="center"/>
        <w:rPr>
          <w:rFonts w:ascii="Harrington" w:hAnsi="Harrington"/>
          <w:sz w:val="28"/>
          <w:szCs w:val="28"/>
        </w:rPr>
      </w:pPr>
    </w:p>
    <w:p w:rsidR="00393DB0" w:rsidRDefault="00B725CC" w:rsidP="00E14F53">
      <w:pPr>
        <w:ind w:firstLine="0"/>
        <w:rPr>
          <w:rFonts w:asciiTheme="majorHAnsi" w:hAnsiTheme="majorHAnsi"/>
          <w:szCs w:val="24"/>
        </w:rPr>
      </w:pPr>
      <w:r w:rsidRPr="00711425">
        <w:rPr>
          <w:rFonts w:asciiTheme="majorHAnsi" w:hAnsiTheme="majorHAnsi"/>
          <w:szCs w:val="24"/>
        </w:rPr>
        <w:t>Faculté des sciences sociales et humaines</w:t>
      </w:r>
      <w:r w:rsidR="00AF4B61" w:rsidRPr="00711425">
        <w:rPr>
          <w:rFonts w:asciiTheme="majorHAnsi" w:hAnsiTheme="majorHAnsi"/>
          <w:szCs w:val="24"/>
          <w:lang w:val="fr-FR"/>
        </w:rPr>
        <w:t xml:space="preserve">                   </w:t>
      </w:r>
      <w:r w:rsidR="00346400" w:rsidRPr="00711425">
        <w:rPr>
          <w:rFonts w:asciiTheme="majorHAnsi" w:hAnsiTheme="majorHAnsi"/>
          <w:szCs w:val="24"/>
        </w:rPr>
        <w:t>Département de</w:t>
      </w:r>
      <w:r w:rsidRPr="00711425">
        <w:rPr>
          <w:rFonts w:asciiTheme="majorHAnsi" w:hAnsiTheme="majorHAnsi"/>
          <w:szCs w:val="24"/>
        </w:rPr>
        <w:t xml:space="preserve"> </w:t>
      </w:r>
      <w:r w:rsidR="00711425">
        <w:rPr>
          <w:rFonts w:asciiTheme="majorHAnsi" w:hAnsiTheme="majorHAnsi"/>
          <w:szCs w:val="24"/>
        </w:rPr>
        <w:t>sciences sociales</w:t>
      </w:r>
      <w:r w:rsidRPr="00711425">
        <w:rPr>
          <w:rFonts w:asciiTheme="majorHAnsi" w:hAnsiTheme="majorHAnsi"/>
          <w:szCs w:val="24"/>
        </w:rPr>
        <w:t xml:space="preserve">                     </w:t>
      </w:r>
      <w:r w:rsidR="00346400" w:rsidRPr="00711425">
        <w:rPr>
          <w:rFonts w:asciiTheme="majorHAnsi" w:hAnsiTheme="majorHAnsi"/>
          <w:szCs w:val="24"/>
        </w:rPr>
        <w:t xml:space="preserve">                </w:t>
      </w:r>
      <w:r w:rsidRPr="00711425">
        <w:rPr>
          <w:rFonts w:asciiTheme="majorHAnsi" w:hAnsiTheme="majorHAnsi"/>
          <w:szCs w:val="24"/>
        </w:rPr>
        <w:t xml:space="preserve">             </w:t>
      </w:r>
      <w:r w:rsidR="00AF4B61" w:rsidRPr="00711425">
        <w:rPr>
          <w:rFonts w:asciiTheme="majorHAnsi" w:hAnsiTheme="majorHAnsi"/>
          <w:szCs w:val="24"/>
        </w:rPr>
        <w:t xml:space="preserve"> </w:t>
      </w:r>
      <w:r w:rsidR="00711425">
        <w:rPr>
          <w:rFonts w:asciiTheme="majorHAnsi" w:hAnsiTheme="majorHAnsi"/>
          <w:szCs w:val="24"/>
        </w:rPr>
        <w:t>Filière : philosophie</w:t>
      </w:r>
      <w:r w:rsidR="00AF4B61" w:rsidRPr="00711425">
        <w:rPr>
          <w:rFonts w:asciiTheme="majorHAnsi" w:hAnsiTheme="majorHAnsi"/>
          <w:szCs w:val="24"/>
          <w:lang w:val="fr-FR"/>
        </w:rPr>
        <w:t xml:space="preserve">                               </w:t>
      </w:r>
      <w:r w:rsidR="00DB5EAF" w:rsidRPr="00711425">
        <w:rPr>
          <w:rFonts w:asciiTheme="majorHAnsi" w:hAnsiTheme="majorHAnsi"/>
          <w:szCs w:val="24"/>
          <w:lang w:val="fr-FR"/>
        </w:rPr>
        <w:t xml:space="preserve">   </w:t>
      </w:r>
      <w:r w:rsidR="00711425">
        <w:rPr>
          <w:rFonts w:asciiTheme="majorHAnsi" w:hAnsiTheme="majorHAnsi"/>
          <w:szCs w:val="24"/>
          <w:lang w:val="fr-FR"/>
        </w:rPr>
        <w:t xml:space="preserve">                     </w:t>
      </w:r>
      <w:r w:rsidR="00DB5EAF" w:rsidRPr="00711425">
        <w:rPr>
          <w:rFonts w:asciiTheme="majorHAnsi" w:hAnsiTheme="majorHAnsi"/>
          <w:szCs w:val="24"/>
          <w:lang w:val="fr-FR"/>
        </w:rPr>
        <w:t xml:space="preserve">     Niveau : Master I</w:t>
      </w:r>
      <w:r w:rsidR="00346400" w:rsidRPr="00711425">
        <w:rPr>
          <w:rFonts w:asciiTheme="majorHAnsi" w:hAnsiTheme="majorHAnsi"/>
          <w:szCs w:val="24"/>
        </w:rPr>
        <w:t xml:space="preserve">                                                                         </w:t>
      </w:r>
      <w:r w:rsidR="00711425">
        <w:rPr>
          <w:rFonts w:asciiTheme="majorHAnsi" w:hAnsiTheme="majorHAnsi"/>
          <w:szCs w:val="24"/>
        </w:rPr>
        <w:t xml:space="preserve">Module : textes philosophiques                                      </w:t>
      </w:r>
      <w:r w:rsidR="00346400" w:rsidRPr="00711425">
        <w:rPr>
          <w:rFonts w:asciiTheme="majorHAnsi" w:hAnsiTheme="majorHAnsi"/>
          <w:szCs w:val="24"/>
        </w:rPr>
        <w:t xml:space="preserve">Année universitaire  </w:t>
      </w:r>
      <w:r w:rsidR="00E14F53" w:rsidRPr="00711425">
        <w:rPr>
          <w:rFonts w:asciiTheme="majorHAnsi" w:hAnsiTheme="majorHAnsi"/>
          <w:szCs w:val="24"/>
        </w:rPr>
        <w:t>2022/2023</w:t>
      </w:r>
    </w:p>
    <w:p w:rsidR="009B0C4D" w:rsidRDefault="009B0C4D" w:rsidP="00E14F53">
      <w:pPr>
        <w:ind w:firstLine="0"/>
        <w:rPr>
          <w:rFonts w:asciiTheme="majorHAnsi" w:hAnsiTheme="majorHAnsi"/>
          <w:szCs w:val="24"/>
        </w:rPr>
      </w:pPr>
    </w:p>
    <w:p w:rsidR="009B0C4D" w:rsidRDefault="009B0C4D" w:rsidP="00E14F53">
      <w:pPr>
        <w:ind w:firstLine="0"/>
        <w:rPr>
          <w:rFonts w:asciiTheme="majorHAnsi" w:hAnsiTheme="majorHAnsi"/>
          <w:szCs w:val="24"/>
        </w:rPr>
      </w:pPr>
      <w:r>
        <w:rPr>
          <w:rFonts w:asciiTheme="majorHAnsi" w:hAnsiTheme="majorHAnsi"/>
          <w:szCs w:val="24"/>
        </w:rPr>
        <w:t xml:space="preserve">Professeur responsable du module : Mer </w:t>
      </w:r>
      <w:proofErr w:type="spellStart"/>
      <w:r>
        <w:rPr>
          <w:rFonts w:asciiTheme="majorHAnsi" w:hAnsiTheme="majorHAnsi"/>
          <w:szCs w:val="24"/>
        </w:rPr>
        <w:t>Benranah</w:t>
      </w:r>
      <w:proofErr w:type="spellEnd"/>
      <w:r>
        <w:rPr>
          <w:rFonts w:asciiTheme="majorHAnsi" w:hAnsiTheme="majorHAnsi"/>
          <w:szCs w:val="24"/>
        </w:rPr>
        <w:t xml:space="preserve"> Ahmed</w:t>
      </w:r>
    </w:p>
    <w:p w:rsidR="00711425" w:rsidRDefault="00711425" w:rsidP="00E14F53">
      <w:pPr>
        <w:ind w:firstLine="0"/>
        <w:rPr>
          <w:rFonts w:asciiTheme="majorHAnsi" w:hAnsiTheme="majorHAnsi"/>
          <w:szCs w:val="24"/>
        </w:rPr>
      </w:pPr>
    </w:p>
    <w:p w:rsidR="00711425" w:rsidRPr="00711425" w:rsidRDefault="00711425" w:rsidP="00E14F53">
      <w:pPr>
        <w:ind w:firstLine="0"/>
        <w:rPr>
          <w:rFonts w:asciiTheme="majorHAnsi" w:hAnsiTheme="majorHAnsi"/>
          <w:szCs w:val="24"/>
          <w:lang w:val="fr-FR"/>
        </w:rPr>
      </w:pPr>
    </w:p>
    <w:p w:rsidR="00346400" w:rsidRDefault="00711425" w:rsidP="00A23D5F">
      <w:pPr>
        <w:ind w:firstLine="0"/>
        <w:rPr>
          <w:rFonts w:asciiTheme="majorHAnsi" w:hAnsiTheme="majorHAnsi"/>
          <w:b/>
          <w:bCs/>
          <w:szCs w:val="24"/>
        </w:rPr>
      </w:pPr>
      <w:r w:rsidRPr="00711425">
        <w:rPr>
          <w:rFonts w:asciiTheme="majorHAnsi" w:hAnsiTheme="majorHAnsi"/>
          <w:b/>
          <w:bCs/>
          <w:szCs w:val="24"/>
        </w:rPr>
        <w:t>Texte n° 1</w:t>
      </w:r>
    </w:p>
    <w:p w:rsidR="00711425" w:rsidRPr="00711425" w:rsidRDefault="00711425" w:rsidP="00667344">
      <w:pPr>
        <w:ind w:firstLine="0"/>
        <w:rPr>
          <w:rFonts w:asciiTheme="majorHAnsi" w:hAnsiTheme="majorHAnsi"/>
          <w:b/>
          <w:bCs/>
          <w:szCs w:val="24"/>
        </w:rPr>
      </w:pPr>
    </w:p>
    <w:p w:rsidR="00346400" w:rsidRPr="00346400" w:rsidRDefault="00393DB0" w:rsidP="00DB5EAF">
      <w:pPr>
        <w:ind w:firstLine="0"/>
        <w:rPr>
          <w:rFonts w:ascii="Harrington" w:hAnsi="Harrington"/>
          <w:szCs w:val="24"/>
          <w:u w:val="single"/>
        </w:rPr>
      </w:pPr>
      <w:r w:rsidRPr="00667344">
        <w:rPr>
          <w:rFonts w:ascii="Harrington" w:hAnsi="Harrington"/>
          <w:szCs w:val="24"/>
        </w:rPr>
        <w:t xml:space="preserve">                                        </w:t>
      </w:r>
    </w:p>
    <w:p w:rsidR="00667344" w:rsidRPr="00711425" w:rsidRDefault="00711425" w:rsidP="00711425">
      <w:pPr>
        <w:rPr>
          <w:bCs/>
          <w:sz w:val="28"/>
          <w:szCs w:val="28"/>
        </w:rPr>
      </w:pPr>
      <w:r>
        <w:rPr>
          <w:bCs/>
          <w:sz w:val="18"/>
          <w:szCs w:val="18"/>
        </w:rPr>
        <w:t xml:space="preserve"> </w:t>
      </w:r>
      <w:proofErr w:type="gramStart"/>
      <w:r w:rsidR="00667344" w:rsidRPr="00711425">
        <w:rPr>
          <w:bCs/>
          <w:sz w:val="28"/>
          <w:szCs w:val="28"/>
        </w:rPr>
        <w:t>(</w:t>
      </w:r>
      <w:r w:rsidR="00667344">
        <w:rPr>
          <w:bCs/>
          <w:sz w:val="18"/>
          <w:szCs w:val="18"/>
        </w:rPr>
        <w:t xml:space="preserve"> </w:t>
      </w:r>
      <w:r w:rsidR="00667344" w:rsidRPr="00711425">
        <w:rPr>
          <w:bCs/>
          <w:sz w:val="28"/>
          <w:szCs w:val="28"/>
        </w:rPr>
        <w:t>John</w:t>
      </w:r>
      <w:proofErr w:type="gramEnd"/>
      <w:r w:rsidR="00667344" w:rsidRPr="00711425">
        <w:rPr>
          <w:bCs/>
          <w:sz w:val="28"/>
          <w:szCs w:val="28"/>
        </w:rPr>
        <w:t xml:space="preserve"> </w:t>
      </w:r>
      <w:r w:rsidR="00346400" w:rsidRPr="00711425">
        <w:rPr>
          <w:bCs/>
          <w:sz w:val="28"/>
          <w:szCs w:val="28"/>
        </w:rPr>
        <w:t>Locke</w:t>
      </w:r>
      <w:r w:rsidR="00667344" w:rsidRPr="00711425">
        <w:rPr>
          <w:bCs/>
          <w:sz w:val="28"/>
          <w:szCs w:val="28"/>
        </w:rPr>
        <w:t xml:space="preserve"> -- Traité de gouvernement civil    –</w:t>
      </w:r>
      <w:r w:rsidR="00346400" w:rsidRPr="00711425">
        <w:rPr>
          <w:bCs/>
          <w:sz w:val="28"/>
          <w:szCs w:val="28"/>
        </w:rPr>
        <w:t>chap.</w:t>
      </w:r>
      <w:r w:rsidR="00667344" w:rsidRPr="00711425">
        <w:rPr>
          <w:bCs/>
          <w:sz w:val="28"/>
          <w:szCs w:val="28"/>
        </w:rPr>
        <w:t xml:space="preserve"> IX paragraphe 131)</w:t>
      </w:r>
    </w:p>
    <w:p w:rsidR="00B725CC" w:rsidRDefault="00711425" w:rsidP="00711425">
      <w:pPr>
        <w:tabs>
          <w:tab w:val="left" w:pos="2998"/>
        </w:tabs>
        <w:ind w:firstLine="0"/>
        <w:jc w:val="both"/>
        <w:rPr>
          <w:rtl/>
        </w:rPr>
      </w:pPr>
      <w:r>
        <w:tab/>
      </w:r>
    </w:p>
    <w:p w:rsidR="00DF486F" w:rsidRDefault="00B725CC" w:rsidP="00667344">
      <w:pPr>
        <w:jc w:val="both"/>
        <w:rPr>
          <w:szCs w:val="24"/>
          <w:u w:val="single"/>
        </w:rPr>
      </w:pPr>
      <w:r>
        <w:t>131. Cependant, quoique ceux qui entrent dans une société, remettent l'</w:t>
      </w:r>
      <w:r w:rsidRPr="00E14F53">
        <w:rPr>
          <w:b/>
          <w:bCs/>
        </w:rPr>
        <w:t>égalité</w:t>
      </w:r>
      <w:r>
        <w:t xml:space="preserve">, la liberté, et le </w:t>
      </w:r>
      <w:r w:rsidRPr="00E14F53">
        <w:rPr>
          <w:b/>
          <w:bCs/>
        </w:rPr>
        <w:t>pouvoir</w:t>
      </w:r>
      <w:r>
        <w:t xml:space="preserve"> qu'ils avaient dans l'état de nature, entre les mains de la société, afin que l'autorité législative en dispose de la manière qu'elle trouvera bon, et que le bien de la société requerra</w:t>
      </w:r>
      <w:r w:rsidRPr="00346400">
        <w:rPr>
          <w:rStyle w:val="Appelnotedebasdep"/>
          <w:sz w:val="24"/>
          <w:szCs w:val="24"/>
        </w:rPr>
        <w:footnoteReference w:id="1"/>
      </w:r>
      <w:r>
        <w:t>; ces gens-là, néanmoins, en remettant ainsi leurs privilèges naturels</w:t>
      </w:r>
      <w:r w:rsidR="00393DB0" w:rsidRPr="00346400">
        <w:rPr>
          <w:rStyle w:val="Appelnotedebasdep"/>
          <w:sz w:val="24"/>
          <w:szCs w:val="24"/>
        </w:rPr>
        <w:footnoteReference w:id="2"/>
      </w:r>
      <w:r>
        <w:t>, n'ayant d'autre intention</w:t>
      </w:r>
      <w:r w:rsidRPr="00346400">
        <w:rPr>
          <w:rStyle w:val="Appelnotedebasdep"/>
          <w:sz w:val="24"/>
          <w:szCs w:val="24"/>
        </w:rPr>
        <w:footnoteReference w:id="3"/>
      </w:r>
      <w:r>
        <w:t xml:space="preserve"> que de pouvoir mieux conserver leurs personnes, leurs libertés, leurs </w:t>
      </w:r>
      <w:r w:rsidRPr="00E14F53">
        <w:rPr>
          <w:b/>
          <w:bCs/>
        </w:rPr>
        <w:t>propriétés</w:t>
      </w:r>
      <w:r>
        <w:t xml:space="preserve"> (car, enfin, on ne saurait supposer que des créatures raisonnables changent leur condition, dans l'intention d'en avoir une plus mauvaise), le pouvoir de la société ou de l'autorité législative établie par eux, ne peut jamais être supposé devoir s'étendre plus loin que le bien public ne le demande. Ce pouvoir doit se réduire à mettre en sûreté et à conserver les propriétés de chacun, en remédiant aux trois défauts, qui rendaient l'état de </w:t>
      </w:r>
      <w:r w:rsidRPr="00E14F53">
        <w:rPr>
          <w:b/>
          <w:bCs/>
        </w:rPr>
        <w:t>nature</w:t>
      </w:r>
      <w:r>
        <w:t xml:space="preserve"> si dangereux et si incommode</w:t>
      </w:r>
      <w:r w:rsidRPr="00346400">
        <w:rPr>
          <w:rStyle w:val="Appelnotedebasdep"/>
          <w:sz w:val="24"/>
          <w:szCs w:val="24"/>
        </w:rPr>
        <w:footnoteReference w:id="4"/>
      </w:r>
      <w:r>
        <w:t xml:space="preserve">. Ainsi, qui que ce soit qui a le </w:t>
      </w:r>
      <w:r w:rsidRPr="00E14F53">
        <w:rPr>
          <w:b/>
          <w:bCs/>
        </w:rPr>
        <w:t>pouvoir législatif</w:t>
      </w:r>
      <w:r>
        <w:t xml:space="preserve"> ou souverain d'une communauté, est obligé de gouverner suivant les lois établies et connues du peuple, non par des décrets arbitraires</w:t>
      </w:r>
      <w:r w:rsidRPr="00346400">
        <w:rPr>
          <w:rStyle w:val="Appelnotedebasdep"/>
          <w:sz w:val="24"/>
          <w:szCs w:val="24"/>
        </w:rPr>
        <w:footnoteReference w:id="5"/>
      </w:r>
      <w:r>
        <w:t xml:space="preserve"> </w:t>
      </w:r>
      <w:r w:rsidRPr="00E14F53">
        <w:rPr>
          <w:u w:val="single"/>
        </w:rPr>
        <w:t>et formés sur-le-champ; d'employer les forces de la communauté</w:t>
      </w:r>
      <w:r w:rsidRPr="00E14F53">
        <w:rPr>
          <w:rStyle w:val="Appelnotedebasdep"/>
          <w:sz w:val="24"/>
          <w:szCs w:val="24"/>
          <w:u w:val="single"/>
        </w:rPr>
        <w:footnoteReference w:id="6"/>
      </w:r>
      <w:r w:rsidRPr="00E14F53">
        <w:rPr>
          <w:szCs w:val="24"/>
          <w:u w:val="single"/>
        </w:rPr>
        <w:t xml:space="preserve"> </w:t>
      </w:r>
    </w:p>
    <w:p w:rsidR="00667344" w:rsidRPr="00E14F53" w:rsidRDefault="00B725CC" w:rsidP="00667344">
      <w:pPr>
        <w:jc w:val="both"/>
        <w:rPr>
          <w:u w:val="single"/>
        </w:rPr>
      </w:pPr>
      <w:r w:rsidRPr="00E14F53">
        <w:rPr>
          <w:u w:val="single"/>
        </w:rPr>
        <w:lastRenderedPageBreak/>
        <w:t>au-dedans, seulement pour faire exécuter ces lois, ou au-dehors pour prévenir ou réprimer les injures étrangères, mettre la communauté à couvert des courses et des invasions; et en tout cela de ne se proposer d'autre fin que la tranquillit</w:t>
      </w:r>
      <w:r w:rsidR="00667344" w:rsidRPr="00E14F53">
        <w:rPr>
          <w:u w:val="single"/>
        </w:rPr>
        <w:t>é, la sûreté, le bien du peuple.</w:t>
      </w:r>
    </w:p>
    <w:p w:rsidR="00264182" w:rsidRPr="00E14F53" w:rsidRDefault="00264182">
      <w:pPr>
        <w:rPr>
          <w:u w:val="single"/>
        </w:rPr>
      </w:pPr>
    </w:p>
    <w:p w:rsidR="00393DB0" w:rsidRPr="00667344" w:rsidRDefault="00667344" w:rsidP="00667344">
      <w:pPr>
        <w:jc w:val="center"/>
        <w:rPr>
          <w:bCs/>
          <w:sz w:val="18"/>
          <w:szCs w:val="18"/>
        </w:rPr>
      </w:pPr>
      <w:r>
        <w:rPr>
          <w:bCs/>
          <w:sz w:val="18"/>
          <w:szCs w:val="18"/>
        </w:rPr>
        <w:t xml:space="preserve">                                      </w:t>
      </w:r>
    </w:p>
    <w:p w:rsidR="00393DB0" w:rsidRPr="00393DB0" w:rsidRDefault="00393DB0" w:rsidP="00393DB0">
      <w:pPr>
        <w:jc w:val="center"/>
        <w:rPr>
          <w:sz w:val="20"/>
        </w:rPr>
      </w:pPr>
    </w:p>
    <w:p w:rsidR="00393DB0" w:rsidRDefault="00393DB0"/>
    <w:sectPr w:rsidR="00393DB0" w:rsidSect="00264182">
      <w:footnotePr>
        <w:pos w:val="beneathText"/>
        <w:numRestart w:val="eachPage"/>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E9F" w:rsidRDefault="00EC0E9F" w:rsidP="009B7251">
      <w:r>
        <w:separator/>
      </w:r>
    </w:p>
  </w:endnote>
  <w:endnote w:type="continuationSeparator" w:id="0">
    <w:p w:rsidR="00EC0E9F" w:rsidRDefault="00EC0E9F" w:rsidP="009B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arrington">
    <w:panose1 w:val="04040505050A0202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E9F" w:rsidRDefault="00EC0E9F" w:rsidP="009B7251">
      <w:r>
        <w:separator/>
      </w:r>
    </w:p>
  </w:footnote>
  <w:footnote w:type="continuationSeparator" w:id="0">
    <w:p w:rsidR="00EC0E9F" w:rsidRDefault="00EC0E9F" w:rsidP="009B7251">
      <w:r>
        <w:continuationSeparator/>
      </w:r>
    </w:p>
  </w:footnote>
  <w:footnote w:id="1">
    <w:p w:rsidR="00B725CC" w:rsidRPr="009B0C4D" w:rsidRDefault="00B725CC" w:rsidP="00393DB0">
      <w:pPr>
        <w:pStyle w:val="Notedebasdepage"/>
        <w:rPr>
          <w:rtl/>
        </w:rPr>
      </w:pPr>
      <w:r w:rsidRPr="009B0C4D">
        <w:rPr>
          <w:rStyle w:val="Appelnotedebasdep"/>
          <w:sz w:val="24"/>
        </w:rPr>
        <w:footnoteRef/>
      </w:r>
      <w:r w:rsidRPr="009B0C4D">
        <w:t xml:space="preserve"> </w:t>
      </w:r>
      <w:r w:rsidRPr="009B0C4D">
        <w:rPr>
          <w:rFonts w:cs="Arial"/>
          <w:rtl/>
        </w:rPr>
        <w:t>يستلزمه</w:t>
      </w:r>
      <w:r w:rsidRPr="009B0C4D">
        <w:rPr>
          <w:rtl/>
        </w:rPr>
        <w:t xml:space="preserve"> </w:t>
      </w:r>
      <w:r w:rsidRPr="009B0C4D">
        <w:rPr>
          <w:rFonts w:cs="Arial"/>
          <w:rtl/>
        </w:rPr>
        <w:t>أو</w:t>
      </w:r>
      <w:r w:rsidRPr="009B0C4D">
        <w:rPr>
          <w:rtl/>
        </w:rPr>
        <w:t xml:space="preserve"> </w:t>
      </w:r>
      <w:r w:rsidRPr="009B0C4D">
        <w:rPr>
          <w:rFonts w:cs="Arial"/>
          <w:rtl/>
        </w:rPr>
        <w:t>يفرضه</w:t>
      </w:r>
    </w:p>
  </w:footnote>
  <w:footnote w:id="2">
    <w:p w:rsidR="00393DB0" w:rsidRPr="009B0C4D" w:rsidRDefault="00393DB0" w:rsidP="00393DB0">
      <w:pPr>
        <w:pStyle w:val="Notedebasdepage"/>
        <w:rPr>
          <w:rtl/>
        </w:rPr>
      </w:pPr>
      <w:r w:rsidRPr="009B0C4D">
        <w:rPr>
          <w:rStyle w:val="Appelnotedebasdep"/>
          <w:sz w:val="24"/>
        </w:rPr>
        <w:footnoteRef/>
      </w:r>
      <w:r w:rsidRPr="009B0C4D">
        <w:t xml:space="preserve"> </w:t>
      </w:r>
      <w:proofErr w:type="gramStart"/>
      <w:r w:rsidRPr="009B0C4D">
        <w:rPr>
          <w:rFonts w:cs="Arial"/>
          <w:rtl/>
        </w:rPr>
        <w:t>حقوقهم</w:t>
      </w:r>
      <w:proofErr w:type="gramEnd"/>
      <w:r w:rsidRPr="009B0C4D">
        <w:rPr>
          <w:rtl/>
        </w:rPr>
        <w:t xml:space="preserve"> </w:t>
      </w:r>
      <w:r w:rsidRPr="009B0C4D">
        <w:rPr>
          <w:rFonts w:cs="Arial"/>
          <w:rtl/>
        </w:rPr>
        <w:t>الطبيعية</w:t>
      </w:r>
    </w:p>
  </w:footnote>
  <w:footnote w:id="3">
    <w:p w:rsidR="00B725CC" w:rsidRPr="009B0C4D" w:rsidRDefault="00B725CC" w:rsidP="00393DB0">
      <w:pPr>
        <w:pStyle w:val="Notedebasdepage"/>
        <w:rPr>
          <w:rtl/>
        </w:rPr>
      </w:pPr>
      <w:r w:rsidRPr="009B0C4D">
        <w:rPr>
          <w:rStyle w:val="Appelnotedebasdep"/>
          <w:sz w:val="24"/>
        </w:rPr>
        <w:footnoteRef/>
      </w:r>
      <w:r w:rsidRPr="009B0C4D">
        <w:t xml:space="preserve"> </w:t>
      </w:r>
      <w:r w:rsidRPr="009B0C4D">
        <w:rPr>
          <w:rFonts w:cs="Arial"/>
          <w:rtl/>
        </w:rPr>
        <w:t>القصد</w:t>
      </w:r>
    </w:p>
  </w:footnote>
  <w:footnote w:id="4">
    <w:p w:rsidR="00B725CC" w:rsidRPr="009B0C4D" w:rsidRDefault="00B725CC" w:rsidP="005A7C4B">
      <w:pPr>
        <w:pStyle w:val="Notedebasdepage"/>
      </w:pPr>
      <w:r w:rsidRPr="009B0C4D">
        <w:rPr>
          <w:rStyle w:val="Appelnotedebasdep"/>
          <w:sz w:val="24"/>
        </w:rPr>
        <w:footnoteRef/>
      </w:r>
      <w:r w:rsidRPr="009B0C4D">
        <w:t xml:space="preserve"> </w:t>
      </w:r>
      <w:r w:rsidR="005A7C4B" w:rsidRPr="009B0C4D">
        <w:rPr>
          <w:rFonts w:cs="Arial"/>
          <w:rtl/>
        </w:rPr>
        <w:t>غير</w:t>
      </w:r>
      <w:r w:rsidR="005A7C4B" w:rsidRPr="009B0C4D">
        <w:rPr>
          <w:rtl/>
        </w:rPr>
        <w:t xml:space="preserve"> </w:t>
      </w:r>
      <w:r w:rsidR="005A7C4B" w:rsidRPr="009B0C4D">
        <w:rPr>
          <w:rFonts w:cs="Arial"/>
          <w:rtl/>
        </w:rPr>
        <w:t>ملائم</w:t>
      </w:r>
    </w:p>
  </w:footnote>
  <w:footnote w:id="5">
    <w:p w:rsidR="00B725CC" w:rsidRPr="009B0C4D" w:rsidRDefault="00B725CC" w:rsidP="00393DB0">
      <w:pPr>
        <w:pStyle w:val="Notedebasdepage"/>
        <w:rPr>
          <w:rtl/>
        </w:rPr>
      </w:pPr>
      <w:r w:rsidRPr="009B0C4D">
        <w:rPr>
          <w:rStyle w:val="Appelnotedebasdep"/>
          <w:sz w:val="24"/>
        </w:rPr>
        <w:footnoteRef/>
      </w:r>
      <w:proofErr w:type="gramStart"/>
      <w:r w:rsidRPr="009B0C4D">
        <w:rPr>
          <w:rFonts w:cs="Arial"/>
          <w:rtl/>
        </w:rPr>
        <w:t>قوانين</w:t>
      </w:r>
      <w:proofErr w:type="gramEnd"/>
      <w:r w:rsidRPr="009B0C4D">
        <w:rPr>
          <w:rtl/>
        </w:rPr>
        <w:t xml:space="preserve"> </w:t>
      </w:r>
      <w:r w:rsidRPr="009B0C4D">
        <w:rPr>
          <w:rFonts w:cs="Arial"/>
          <w:rtl/>
        </w:rPr>
        <w:t>تسلطية</w:t>
      </w:r>
    </w:p>
  </w:footnote>
  <w:footnote w:id="6">
    <w:p w:rsidR="00B725CC" w:rsidRPr="009B0C4D" w:rsidRDefault="00B725CC" w:rsidP="00393DB0">
      <w:pPr>
        <w:pStyle w:val="Notedebasdepage"/>
        <w:rPr>
          <w:rtl/>
        </w:rPr>
      </w:pPr>
      <w:r w:rsidRPr="009B0C4D">
        <w:rPr>
          <w:rStyle w:val="Appelnotedebasdep"/>
          <w:sz w:val="24"/>
        </w:rPr>
        <w:footnoteRef/>
      </w:r>
      <w:r w:rsidRPr="009B0C4D">
        <w:rPr>
          <w:rFonts w:cs="Arial"/>
          <w:rtl/>
        </w:rPr>
        <w:t>قوات</w:t>
      </w:r>
      <w:r w:rsidRPr="009B0C4D">
        <w:rPr>
          <w:rtl/>
        </w:rPr>
        <w:t xml:space="preserve"> </w:t>
      </w:r>
      <w:r w:rsidRPr="009B0C4D">
        <w:rPr>
          <w:rFonts w:cs="Arial"/>
          <w:rtl/>
        </w:rPr>
        <w:t>الأمن</w:t>
      </w:r>
    </w:p>
    <w:p w:rsidR="00667344" w:rsidRPr="009B0C4D" w:rsidRDefault="00667344" w:rsidP="00667344">
      <w:pPr>
        <w:pStyle w:val="Notedebasdepage"/>
        <w:ind w:left="0" w:firstLine="0"/>
      </w:pPr>
    </w:p>
    <w:p w:rsidR="00393DB0" w:rsidRPr="009B0C4D" w:rsidRDefault="00393DB0" w:rsidP="00393DB0">
      <w:pPr>
        <w:pStyle w:val="Notedebasdepage"/>
      </w:pPr>
    </w:p>
    <w:p w:rsidR="00711425" w:rsidRPr="009B0C4D" w:rsidRDefault="00711425" w:rsidP="00DB5EAF">
      <w:pPr>
        <w:pStyle w:val="Notedebasdepage"/>
      </w:pPr>
      <w:bookmarkStart w:id="0" w:name="_GoBack"/>
      <w:bookmarkEnd w:id="0"/>
    </w:p>
    <w:p w:rsidR="00711425" w:rsidRPr="009B0C4D" w:rsidRDefault="00711425" w:rsidP="00DB5EAF">
      <w:pPr>
        <w:pStyle w:val="Notedebasdepage"/>
      </w:pPr>
    </w:p>
    <w:p w:rsidR="00711425" w:rsidRPr="009B0C4D" w:rsidRDefault="00711425" w:rsidP="00DB5EAF">
      <w:pPr>
        <w:pStyle w:val="Notedebasdepage"/>
      </w:pPr>
    </w:p>
    <w:p w:rsidR="00711425" w:rsidRPr="009B0C4D" w:rsidRDefault="00711425" w:rsidP="00DB5EAF">
      <w:pPr>
        <w:pStyle w:val="Notedebasdepage"/>
      </w:pPr>
    </w:p>
    <w:p w:rsidR="00711425" w:rsidRPr="009B0C4D" w:rsidRDefault="00711425" w:rsidP="00DB5EAF">
      <w:pPr>
        <w:pStyle w:val="Notedebasdepage"/>
      </w:pPr>
    </w:p>
    <w:p w:rsidR="00711425" w:rsidRPr="009B0C4D" w:rsidRDefault="00711425" w:rsidP="00DB5EAF">
      <w:pPr>
        <w:pStyle w:val="Notedebasdepage"/>
      </w:pPr>
    </w:p>
    <w:p w:rsidR="00711425" w:rsidRPr="009B0C4D" w:rsidRDefault="00711425" w:rsidP="00DB5EAF">
      <w:pPr>
        <w:pStyle w:val="Notedebasdepage"/>
      </w:pPr>
    </w:p>
    <w:p w:rsidR="00711425" w:rsidRPr="009B0C4D" w:rsidRDefault="00711425" w:rsidP="009B0C4D">
      <w:pPr>
        <w:pStyle w:val="Notedebasdepage"/>
        <w:tabs>
          <w:tab w:val="left" w:pos="1032"/>
        </w:tabs>
        <w:ind w:left="0" w:firstLine="0"/>
      </w:pPr>
    </w:p>
    <w:p w:rsidR="00393DB0" w:rsidRPr="009B0C4D" w:rsidRDefault="00393DB0" w:rsidP="00393DB0">
      <w:pPr>
        <w:pStyle w:val="Notedebasdepage"/>
      </w:pPr>
    </w:p>
    <w:p w:rsidR="00393DB0" w:rsidRPr="009B0C4D" w:rsidRDefault="00393DB0" w:rsidP="00393DB0">
      <w:pPr>
        <w:pStyle w:val="Notedebasdepage"/>
      </w:pP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711425" w:rsidRPr="009B0C4D"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711425" w:rsidRDefault="00711425" w:rsidP="00711425">
      <w:pPr>
        <w:pStyle w:val="Sansinterligne"/>
        <w:shd w:val="clear" w:color="auto" w:fill="FFFFFF"/>
        <w:spacing w:before="0" w:beforeAutospacing="0" w:after="0" w:afterAutospacing="0" w:line="258" w:lineRule="atLeast"/>
        <w:jc w:val="both"/>
        <w:rPr>
          <w:rFonts w:asciiTheme="minorHAnsi" w:hAnsiTheme="minorHAnsi" w:cstheme="minorHAnsi"/>
          <w:color w:val="000000"/>
        </w:rPr>
      </w:pPr>
    </w:p>
    <w:p w:rsidR="00711425" w:rsidRPr="009B0C4D" w:rsidRDefault="00711425" w:rsidP="00711425">
      <w:pPr>
        <w:pStyle w:val="Notedebasdepage"/>
        <w:rPr>
          <w:lang w:val="fr-C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F53A7"/>
    <w:multiLevelType w:val="hybridMultilevel"/>
    <w:tmpl w:val="F18075CE"/>
    <w:lvl w:ilvl="0" w:tplc="A816F9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C502B0B"/>
    <w:multiLevelType w:val="hybridMultilevel"/>
    <w:tmpl w:val="5ADAD6AC"/>
    <w:lvl w:ilvl="0" w:tplc="EE249D48">
      <w:start w:val="1"/>
      <w:numFmt w:val="decimal"/>
      <w:lvlText w:val="%1-"/>
      <w:lvlJc w:val="left"/>
      <w:pPr>
        <w:ind w:left="840" w:hanging="360"/>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nsid w:val="37A85AC8"/>
    <w:multiLevelType w:val="hybridMultilevel"/>
    <w:tmpl w:val="3F3C2FDE"/>
    <w:lvl w:ilvl="0" w:tplc="9864AB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2"/>
  </w:compat>
  <w:rsids>
    <w:rsidRoot w:val="009B7251"/>
    <w:rsid w:val="001F1B52"/>
    <w:rsid w:val="00211C8F"/>
    <w:rsid w:val="00264182"/>
    <w:rsid w:val="00275F9E"/>
    <w:rsid w:val="00303C57"/>
    <w:rsid w:val="00305305"/>
    <w:rsid w:val="00346400"/>
    <w:rsid w:val="00393DB0"/>
    <w:rsid w:val="004E4792"/>
    <w:rsid w:val="005A7C4B"/>
    <w:rsid w:val="006363EF"/>
    <w:rsid w:val="00667344"/>
    <w:rsid w:val="006825AF"/>
    <w:rsid w:val="006F1A99"/>
    <w:rsid w:val="00711425"/>
    <w:rsid w:val="007565E2"/>
    <w:rsid w:val="007E416F"/>
    <w:rsid w:val="009B0C4D"/>
    <w:rsid w:val="009B7251"/>
    <w:rsid w:val="00A23D5F"/>
    <w:rsid w:val="00AF4B61"/>
    <w:rsid w:val="00B06468"/>
    <w:rsid w:val="00B44050"/>
    <w:rsid w:val="00B725CC"/>
    <w:rsid w:val="00C77A3C"/>
    <w:rsid w:val="00DB5EAF"/>
    <w:rsid w:val="00DF486F"/>
    <w:rsid w:val="00E14F53"/>
    <w:rsid w:val="00EB4E5E"/>
    <w:rsid w:val="00EC0E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DB0"/>
    <w:pPr>
      <w:spacing w:after="0" w:line="240" w:lineRule="auto"/>
      <w:ind w:firstLine="360"/>
    </w:pPr>
    <w:rPr>
      <w:rFonts w:ascii="Times" w:eastAsia="Times New Roman" w:hAnsi="Times" w:cs="Times New Roman"/>
      <w:sz w:val="24"/>
      <w:szCs w:val="20"/>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autoRedefine/>
    <w:semiHidden/>
    <w:rsid w:val="009B7251"/>
    <w:rPr>
      <w:color w:val="FF0000"/>
      <w:position w:val="6"/>
      <w:sz w:val="16"/>
    </w:rPr>
  </w:style>
  <w:style w:type="paragraph" w:styleId="Notedebasdepage">
    <w:name w:val="footnote text"/>
    <w:basedOn w:val="Normal"/>
    <w:link w:val="NotedebasdepageCar"/>
    <w:autoRedefine/>
    <w:semiHidden/>
    <w:rsid w:val="00393DB0"/>
    <w:pPr>
      <w:ind w:left="360" w:hanging="360"/>
      <w:jc w:val="both"/>
    </w:pPr>
    <w:rPr>
      <w:rFonts w:asciiTheme="minorHAnsi" w:hAnsiTheme="minorHAnsi" w:cstheme="minorHAnsi"/>
      <w:color w:val="000000"/>
      <w:szCs w:val="24"/>
      <w:lang w:val="fr-FR" w:bidi="ar-DZ"/>
    </w:rPr>
  </w:style>
  <w:style w:type="character" w:customStyle="1" w:styleId="NotedebasdepageCar">
    <w:name w:val="Note de bas de page Car"/>
    <w:basedOn w:val="Policepardfaut"/>
    <w:link w:val="Notedebasdepage"/>
    <w:semiHidden/>
    <w:rsid w:val="00393DB0"/>
    <w:rPr>
      <w:rFonts w:eastAsia="Times New Roman" w:cstheme="minorHAnsi"/>
      <w:color w:val="000000"/>
      <w:sz w:val="24"/>
      <w:szCs w:val="24"/>
      <w:lang w:eastAsia="fr-FR" w:bidi="ar-DZ"/>
    </w:rPr>
  </w:style>
  <w:style w:type="paragraph" w:styleId="Sansinterligne">
    <w:name w:val="No Spacing"/>
    <w:basedOn w:val="Normal"/>
    <w:uiPriority w:val="1"/>
    <w:qFormat/>
    <w:rsid w:val="00711425"/>
    <w:pPr>
      <w:spacing w:before="100" w:beforeAutospacing="1" w:after="100" w:afterAutospacing="1"/>
      <w:ind w:firstLine="0"/>
    </w:pPr>
    <w:rPr>
      <w:rFonts w:ascii="Times New Roman" w:hAnsi="Times New Roman"/>
      <w:szCs w:val="24"/>
      <w:lang w:val="fr-FR"/>
    </w:rPr>
  </w:style>
  <w:style w:type="paragraph" w:styleId="Paragraphedeliste">
    <w:name w:val="List Paragraph"/>
    <w:basedOn w:val="Normal"/>
    <w:uiPriority w:val="34"/>
    <w:qFormat/>
    <w:rsid w:val="00711425"/>
    <w:pPr>
      <w:spacing w:after="200" w:line="276" w:lineRule="auto"/>
      <w:ind w:left="720" w:firstLine="0"/>
      <w:contextualSpacing/>
    </w:pPr>
    <w:rPr>
      <w:rFonts w:asciiTheme="minorHAnsi" w:eastAsiaTheme="minorHAnsi" w:hAnsiTheme="minorHAnsi" w:cstheme="minorBidi"/>
      <w:sz w:val="22"/>
      <w:szCs w:val="2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E3E2F-85C8-44D4-920A-3C3C7A34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337</Words>
  <Characters>1859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Administrateur</cp:lastModifiedBy>
  <cp:revision>12</cp:revision>
  <cp:lastPrinted>2022-12-22T07:03:00Z</cp:lastPrinted>
  <dcterms:created xsi:type="dcterms:W3CDTF">2014-05-24T20:25:00Z</dcterms:created>
  <dcterms:modified xsi:type="dcterms:W3CDTF">2023-05-27T15:54:00Z</dcterms:modified>
</cp:coreProperties>
</file>