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Default="008076D3" w:rsidP="00807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B3838"/>
          <w:sz w:val="32"/>
          <w:szCs w:val="32"/>
        </w:rPr>
        <w:t xml:space="preserve">Cour N 2 </w:t>
      </w:r>
    </w:p>
    <w:p w:rsid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P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6"/>
          <w:szCs w:val="36"/>
        </w:rPr>
      </w:pPr>
      <w:r w:rsidRPr="008076D3">
        <w:rPr>
          <w:rFonts w:ascii="Times New Roman" w:hAnsi="Times New Roman" w:cs="Times New Roman"/>
          <w:b/>
          <w:bCs/>
          <w:color w:val="3B3838"/>
          <w:sz w:val="36"/>
          <w:szCs w:val="36"/>
        </w:rPr>
        <w:t>La phobie scolaire ou refus anxieux scolaire</w:t>
      </w:r>
    </w:p>
    <w:p w:rsidR="008076D3" w:rsidRP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Pr="008076D3" w:rsidRDefault="008076D3" w:rsidP="00807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B3838"/>
          <w:sz w:val="32"/>
          <w:szCs w:val="32"/>
        </w:rPr>
      </w:pPr>
    </w:p>
    <w:p w:rsidR="008076D3" w:rsidRPr="008076D3" w:rsidRDefault="008076D3" w:rsidP="008076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b/>
          <w:bCs/>
          <w:color w:val="000000"/>
          <w:sz w:val="32"/>
          <w:szCs w:val="32"/>
        </w:rPr>
        <w:t>Définitions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 :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color w:val="000000"/>
          <w:sz w:val="32"/>
          <w:szCs w:val="32"/>
        </w:rPr>
        <w:t>Afin de comprendre au mieux le terme de « phobie scolaire » et « refus anxieux scolaire »,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8076D3">
        <w:rPr>
          <w:rFonts w:asciiTheme="majorBidi" w:hAnsiTheme="majorBidi" w:cstheme="majorBidi"/>
          <w:color w:val="000000"/>
          <w:sz w:val="32"/>
          <w:szCs w:val="32"/>
        </w:rPr>
        <w:t>il</w:t>
      </w:r>
      <w:proofErr w:type="gramEnd"/>
      <w:r w:rsidRPr="008076D3">
        <w:rPr>
          <w:rFonts w:asciiTheme="majorBidi" w:hAnsiTheme="majorBidi" w:cstheme="majorBidi"/>
          <w:color w:val="000000"/>
          <w:sz w:val="32"/>
          <w:szCs w:val="32"/>
        </w:rPr>
        <w:t xml:space="preserve"> est important de définir les mots qui le composent.</w:t>
      </w:r>
    </w:p>
    <w:p w:rsidR="008076D3" w:rsidRPr="008076D3" w:rsidRDefault="008076D3" w:rsidP="008076D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color w:val="000000"/>
          <w:sz w:val="32"/>
          <w:szCs w:val="32"/>
        </w:rPr>
        <w:t>Une « phobie » est définie par une crainte angoissante et injustifiée d’une situation,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8076D3">
        <w:rPr>
          <w:rFonts w:asciiTheme="majorBidi" w:hAnsiTheme="majorBidi" w:cstheme="majorBidi"/>
          <w:color w:val="000000"/>
          <w:sz w:val="32"/>
          <w:szCs w:val="32"/>
        </w:rPr>
        <w:t>d’un</w:t>
      </w:r>
      <w:proofErr w:type="gramEnd"/>
      <w:r w:rsidRPr="008076D3">
        <w:rPr>
          <w:rFonts w:asciiTheme="majorBidi" w:hAnsiTheme="majorBidi" w:cstheme="majorBidi"/>
          <w:color w:val="000000"/>
          <w:sz w:val="32"/>
          <w:szCs w:val="32"/>
        </w:rPr>
        <w:t xml:space="preserve"> objet ou de l’accomplissement d’une action.</w:t>
      </w:r>
    </w:p>
    <w:p w:rsidR="008076D3" w:rsidRPr="008076D3" w:rsidRDefault="008076D3" w:rsidP="008076D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color w:val="000000"/>
          <w:sz w:val="32"/>
          <w:szCs w:val="32"/>
        </w:rPr>
        <w:t>Le mot « scolaire » représente tout ce qui a un rapport à l’école, à l’enseignement.</w:t>
      </w:r>
    </w:p>
    <w:p w:rsidR="008076D3" w:rsidRDefault="008076D3" w:rsidP="008076D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color w:val="000000"/>
          <w:sz w:val="32"/>
          <w:szCs w:val="32"/>
        </w:rPr>
        <w:t>Un « refus anxieux » se dit d’un refus adoptant une attitude qui manifeste une vive tension nerveuse.</w:t>
      </w:r>
    </w:p>
    <w:p w:rsidR="008076D3" w:rsidRPr="008076D3" w:rsidRDefault="008076D3" w:rsidP="008076D3">
      <w:pPr>
        <w:pStyle w:val="Paragraphedeliste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   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 xml:space="preserve">En d’autres termes, la </w:t>
      </w:r>
      <w:r w:rsidRPr="008076D3">
        <w:rPr>
          <w:rFonts w:asciiTheme="majorBidi" w:hAnsiTheme="majorBidi" w:cstheme="majorBidi"/>
          <w:b/>
          <w:bCs/>
          <w:color w:val="000000"/>
          <w:sz w:val="32"/>
          <w:szCs w:val="32"/>
        </w:rPr>
        <w:t>« phobie scolaire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 xml:space="preserve"> » est définie par une peur de l’école mettant les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élèves dans un état de nervosité. C’est une situation où l'enfant refuse d'aller à l'école pour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des raisons irrationnelles.</w:t>
      </w:r>
    </w:p>
    <w:p w:rsid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color w:val="000000"/>
          <w:sz w:val="32"/>
          <w:szCs w:val="32"/>
        </w:rPr>
        <w:t>Toutefois, l’appellation qui est plus neutre « refus anxieux scolaire » est faussée dans la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mesure où les élèves ne refusent pas d’aller à l’école, ils n’y arrivent pas, ce qui est différent.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</w:p>
    <w:p w:rsidR="008076D3" w:rsidRPr="008076D3" w:rsidRDefault="008076D3" w:rsidP="008076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8076D3">
        <w:rPr>
          <w:rFonts w:asciiTheme="majorBidi" w:hAnsiTheme="majorBidi" w:cstheme="majorBidi"/>
          <w:b/>
          <w:bCs/>
          <w:color w:val="000000"/>
          <w:sz w:val="32"/>
          <w:szCs w:val="32"/>
        </w:rPr>
        <w:t>L’absentéisme et la phobie scolaire</w:t>
      </w:r>
    </w:p>
    <w:p w:rsidR="008076D3" w:rsidRPr="008076D3" w:rsidRDefault="008076D3" w:rsidP="008076D3">
      <w:pPr>
        <w:pStyle w:val="Paragraphedeliste"/>
        <w:autoSpaceDE w:val="0"/>
        <w:autoSpaceDN w:val="0"/>
        <w:adjustRightInd w:val="0"/>
        <w:spacing w:after="0"/>
        <w:ind w:left="735"/>
        <w:rPr>
          <w:rFonts w:asciiTheme="majorBidi" w:hAnsiTheme="majorBidi" w:cstheme="majorBidi"/>
          <w:color w:val="000000"/>
          <w:sz w:val="32"/>
          <w:szCs w:val="32"/>
        </w:rPr>
      </w:pP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  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A l’école, l’absentéisme est défini par les absences non justifiées c’est-à-dire sans motif ou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lorsque le motif est illégitime. On parle d’absentéisme au-delà de quatre demi-journées non</w:t>
      </w:r>
    </w:p>
    <w:p w:rsidR="00275FFE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8076D3">
        <w:rPr>
          <w:rFonts w:asciiTheme="majorBidi" w:hAnsiTheme="majorBidi" w:cstheme="majorBidi"/>
          <w:color w:val="000000"/>
          <w:sz w:val="32"/>
          <w:szCs w:val="32"/>
        </w:rPr>
        <w:t>régularisées</w:t>
      </w:r>
      <w:proofErr w:type="gramEnd"/>
      <w:r w:rsidRPr="008076D3">
        <w:rPr>
          <w:rFonts w:asciiTheme="majorBidi" w:hAnsiTheme="majorBidi" w:cstheme="majorBidi"/>
          <w:color w:val="000000"/>
          <w:sz w:val="32"/>
          <w:szCs w:val="32"/>
        </w:rPr>
        <w:t xml:space="preserve"> par mois et d’absentéisme grave lorsque l’élève manque plus de dix demi</w:t>
      </w:r>
      <w:r>
        <w:rPr>
          <w:rFonts w:asciiTheme="majorBidi" w:hAnsiTheme="majorBidi" w:cstheme="majorBidi"/>
          <w:color w:val="000000"/>
          <w:sz w:val="32"/>
          <w:szCs w:val="32"/>
        </w:rPr>
        <w:t>-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journées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color w:val="000000"/>
          <w:sz w:val="32"/>
          <w:szCs w:val="32"/>
        </w:rPr>
        <w:t>par mois.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lastRenderedPageBreak/>
        <w:t xml:space="preserve">L’école étant obligatoire, le suivi des absences est contrôlé de très près dans chaque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école.Les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parents sont convoqués lorsque les élèves sont fréquemment absents puis dans les cas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extrêmes l’assistante sociale est alertée.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 xml:space="preserve">En cas d’absentéisme répété, il est essentiel que la différenciation soit claire entre </w:t>
      </w:r>
      <w:r w:rsidRPr="008076D3">
        <w:rPr>
          <w:rFonts w:asciiTheme="majorBidi" w:hAnsiTheme="majorBidi" w:cstheme="majorBidi"/>
          <w:b/>
          <w:bCs/>
          <w:sz w:val="32"/>
          <w:szCs w:val="32"/>
        </w:rPr>
        <w:t>la phobie scolaire</w:t>
      </w:r>
      <w:r w:rsidRPr="008076D3">
        <w:rPr>
          <w:rFonts w:asciiTheme="majorBidi" w:hAnsiTheme="majorBidi" w:cstheme="majorBidi"/>
          <w:sz w:val="32"/>
          <w:szCs w:val="32"/>
        </w:rPr>
        <w:t xml:space="preserve">, le désintérêt scolaire ou les conduites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addictives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chez les adolescents.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 xml:space="preserve">Il faut savoir évoquer </w:t>
      </w:r>
      <w:r w:rsidRPr="008076D3">
        <w:rPr>
          <w:rFonts w:asciiTheme="majorBidi" w:hAnsiTheme="majorBidi" w:cstheme="majorBidi"/>
          <w:b/>
          <w:bCs/>
          <w:sz w:val="32"/>
          <w:szCs w:val="32"/>
        </w:rPr>
        <w:t>la phobie scolaire</w:t>
      </w:r>
      <w:r w:rsidRPr="008076D3">
        <w:rPr>
          <w:rFonts w:asciiTheme="majorBidi" w:hAnsiTheme="majorBidi" w:cstheme="majorBidi"/>
          <w:sz w:val="32"/>
          <w:szCs w:val="32"/>
        </w:rPr>
        <w:t xml:space="preserve"> en cas d’absentéisme important, excusé ou justifié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par les parents, associé à des sentiments d’angoisse vis-à-vis du milieu scolaire, lesquelles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sont parfois rationalisées secondairement pour justifier le refus d’aller en classe : crainte en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raison d’un examen ou d’un contrôle, critique de l’enseignement, crainte d’être rejeté, de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subir la moquerie des autres, peur de l’enseignant...</w:t>
      </w:r>
    </w:p>
    <w:p w:rsid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Pour les pédopsychiatres</w:t>
      </w:r>
      <w:r w:rsidRPr="008076D3">
        <w:rPr>
          <w:rFonts w:asciiTheme="majorBidi" w:hAnsiTheme="majorBidi" w:cstheme="majorBidi"/>
          <w:b/>
          <w:bCs/>
          <w:sz w:val="32"/>
          <w:szCs w:val="32"/>
        </w:rPr>
        <w:t>, la phobie scolaire</w:t>
      </w:r>
      <w:r w:rsidRPr="008076D3">
        <w:rPr>
          <w:rFonts w:asciiTheme="majorBidi" w:hAnsiTheme="majorBidi" w:cstheme="majorBidi"/>
          <w:sz w:val="32"/>
          <w:szCs w:val="32"/>
        </w:rPr>
        <w:t xml:space="preserve"> est perçue comme une énigme, son rôle est de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trouver l’origine de cette maladie et les facteurs dominants. Afin de soigner au mieux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l’enfant, les psychiatres effectuent une évaluation de l’enfant et de son environnement : les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parents sont alors convoqués pour définir leur implication dans le processus de réintégration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scolaire et prenant en compte les paramètres économiques, culturels et sociaux.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</w:p>
    <w:p w:rsidR="008076D3" w:rsidRPr="0015386A" w:rsidRDefault="008076D3" w:rsidP="0015386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15386A">
        <w:rPr>
          <w:rFonts w:asciiTheme="majorBidi" w:hAnsiTheme="majorBidi" w:cstheme="majorBidi"/>
          <w:b/>
          <w:bCs/>
          <w:sz w:val="32"/>
          <w:szCs w:val="32"/>
        </w:rPr>
        <w:t>L’évolution du terme phobie scolaire</w:t>
      </w:r>
    </w:p>
    <w:p w:rsidR="0015386A" w:rsidRPr="0015386A" w:rsidRDefault="0015386A" w:rsidP="0015386A">
      <w:pPr>
        <w:pStyle w:val="Paragraphedeliste"/>
        <w:autoSpaceDE w:val="0"/>
        <w:autoSpaceDN w:val="0"/>
        <w:adjustRightInd w:val="0"/>
        <w:spacing w:after="0"/>
        <w:ind w:left="735"/>
        <w:rPr>
          <w:rFonts w:asciiTheme="majorBidi" w:hAnsiTheme="majorBidi" w:cstheme="majorBidi"/>
          <w:b/>
          <w:bCs/>
          <w:sz w:val="32"/>
          <w:szCs w:val="32"/>
        </w:rPr>
      </w:pP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8076D3">
        <w:rPr>
          <w:rFonts w:asciiTheme="majorBidi" w:hAnsiTheme="majorBidi" w:cstheme="majorBidi"/>
          <w:sz w:val="32"/>
          <w:szCs w:val="32"/>
        </w:rPr>
        <w:t>La phobie scolaire a vu le jour en 1882 avec les lois Ferry qui officialisent l’obligation et la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laïcité de l’école pour tous les enfants jusqu’à l’âge de quatorze ans.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Toutefois, c’est en 1913 que Jung (psychologue et psychiatre suisse) évoque le concept de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 xml:space="preserve">refus névrotique4 d’aller à l’école. Puis en 1932,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Broadwin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(psychiatre) isole une variante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proofErr w:type="gramStart"/>
      <w:r w:rsidRPr="008076D3">
        <w:rPr>
          <w:rFonts w:asciiTheme="majorBidi" w:hAnsiTheme="majorBidi" w:cstheme="majorBidi"/>
          <w:sz w:val="32"/>
          <w:szCs w:val="32"/>
        </w:rPr>
        <w:t>de</w:t>
      </w:r>
      <w:proofErr w:type="gramEnd"/>
      <w:r w:rsidRPr="008076D3">
        <w:rPr>
          <w:rFonts w:asciiTheme="majorBidi" w:hAnsiTheme="majorBidi" w:cstheme="majorBidi"/>
          <w:sz w:val="32"/>
          <w:szCs w:val="32"/>
        </w:rPr>
        <w:t xml:space="preserve"> l'école buissonnière, où l'enfant, par crainte de ce qui pourrait arriver à sa mère, se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précipite chez lui pour soulager son angoisse. La peur de l'école représente en fait pour cet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 xml:space="preserve">auteur la peur de quitter la maison. Sur le plan psychopathologique, l’auteur interprète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cetype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d’absentéisme comme résultant d’une névrose à caractère obsessionnel. La mère a un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rôle central dans l’approche psychopathologique.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 xml:space="preserve">Le terme « </w:t>
      </w:r>
      <w:r w:rsidRPr="008076D3">
        <w:rPr>
          <w:rFonts w:asciiTheme="majorBidi" w:hAnsiTheme="majorBidi" w:cstheme="majorBidi"/>
          <w:b/>
          <w:bCs/>
          <w:sz w:val="32"/>
          <w:szCs w:val="32"/>
        </w:rPr>
        <w:t>Phobie scolaire</w:t>
      </w:r>
      <w:r w:rsidRPr="008076D3">
        <w:rPr>
          <w:rFonts w:asciiTheme="majorBidi" w:hAnsiTheme="majorBidi" w:cstheme="majorBidi"/>
          <w:sz w:val="32"/>
          <w:szCs w:val="32"/>
        </w:rPr>
        <w:t xml:space="preserve"> : </w:t>
      </w:r>
      <w:proofErr w:type="spellStart"/>
      <w:r w:rsidRPr="008076D3">
        <w:rPr>
          <w:rFonts w:asciiTheme="majorBidi" w:hAnsiTheme="majorBidi" w:cstheme="majorBidi"/>
          <w:b/>
          <w:bCs/>
          <w:sz w:val="32"/>
          <w:szCs w:val="32"/>
        </w:rPr>
        <w:t>School</w:t>
      </w:r>
      <w:proofErr w:type="spellEnd"/>
      <w:r w:rsidRPr="008076D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076D3">
        <w:rPr>
          <w:rFonts w:asciiTheme="majorBidi" w:hAnsiTheme="majorBidi" w:cstheme="majorBidi"/>
          <w:b/>
          <w:bCs/>
          <w:sz w:val="32"/>
          <w:szCs w:val="32"/>
        </w:rPr>
        <w:t>Phobia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» apparait pour la première fois en 1941 avec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 xml:space="preserve">A. Johnson qui complète la description de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Braodwin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et la définit par «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une conduite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 xml:space="preserve">d’évitement chez un enfant qui, sans pouvoir en dire la raison,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lastRenderedPageBreak/>
        <w:t>refuse d’aller à l'école et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 xml:space="preserve">résiste avec d'intenses réactions d'anxiété ou de panique quand on tente de l'y contraindre. </w:t>
      </w:r>
      <w:r w:rsidRPr="008076D3">
        <w:rPr>
          <w:rFonts w:asciiTheme="majorBidi" w:hAnsiTheme="majorBidi" w:cstheme="majorBidi"/>
          <w:sz w:val="32"/>
          <w:szCs w:val="32"/>
        </w:rPr>
        <w:t>».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 xml:space="preserve">C’est en 1959, que la scolarité devient obligatoire jusqu’à 16 ans (décret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Berthouin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), et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trèsvite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la question se pose sur la dénomination de cette entité qui ne correspond pas aux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descriptions classiques des phobies où un objet phobogène est identifié : à la peur de l’école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se substitue l’angoisse de séparation.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Dès cette époque, la phobie scolaire ne se définit plus comme une entité clinique précise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mais comme un symptôme ou un ensemble de symptômes regroupés en syndrome.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A la fin des années soixante, des auteurs ont commencé à utiliser l'expression de refus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 xml:space="preserve">scolaire à la place de phobie. Selon S.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Lebovici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(psychiatre et psychanalyste), "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La phobie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scolaire constitue un symptôme névrotique et caractérise l'organisation d'une névrose invalidante de l'enfance. De ce fait elle est une forme très particulière de ce que l'on appelle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refus scolaire</w:t>
      </w:r>
      <w:r w:rsidRPr="008076D3">
        <w:rPr>
          <w:rFonts w:asciiTheme="majorBidi" w:hAnsiTheme="majorBidi" w:cstheme="majorBidi"/>
          <w:sz w:val="32"/>
          <w:szCs w:val="32"/>
        </w:rPr>
        <w:t>".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En 1969, Berg insiste sur la gravité des difficultés qui accompagnent cette situation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(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absences prolongées, bouleversement émotionnel lorsque l’enfant se retrouve confronté à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la perspective d’aller à l’école, peur excessive, colères injustifiées, tristesse et plaintes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physiques sans cause organique</w:t>
      </w:r>
      <w:r w:rsidRPr="008076D3">
        <w:rPr>
          <w:rFonts w:asciiTheme="majorBidi" w:hAnsiTheme="majorBidi" w:cstheme="majorBidi"/>
          <w:sz w:val="32"/>
          <w:szCs w:val="32"/>
        </w:rPr>
        <w:t>). Il n’y a cependant ni troubles antisociaux importants ni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vagabondage. Berg précise que les parents savent que l’enfant devrait être à l’école alors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qu’il est à la maison.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 xml:space="preserve">En 1974, J. </w:t>
      </w:r>
      <w:proofErr w:type="spellStart"/>
      <w:r w:rsidRPr="008076D3">
        <w:rPr>
          <w:rFonts w:asciiTheme="majorBidi" w:hAnsiTheme="majorBidi" w:cstheme="majorBidi"/>
          <w:sz w:val="32"/>
          <w:szCs w:val="32"/>
        </w:rPr>
        <w:t>Ajuriaguerra</w:t>
      </w:r>
      <w:proofErr w:type="spellEnd"/>
      <w:r w:rsidRPr="008076D3">
        <w:rPr>
          <w:rFonts w:asciiTheme="majorBidi" w:hAnsiTheme="majorBidi" w:cstheme="majorBidi"/>
          <w:sz w:val="32"/>
          <w:szCs w:val="32"/>
        </w:rPr>
        <w:t xml:space="preserve"> (neuropsychiatre et psychanalyste) utilise le terme phobie scolaire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 xml:space="preserve">pour désigner «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l’enfant qui refuse d’aller à l’école pour des raisons irrationnelles et qui s’y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i/>
          <w:iCs/>
          <w:sz w:val="32"/>
          <w:szCs w:val="32"/>
        </w:rPr>
        <w:t>oppose par des réactions très vives de panique quand on essaie de l’y forcer</w:t>
      </w:r>
      <w:r w:rsidRPr="008076D3">
        <w:rPr>
          <w:rFonts w:asciiTheme="majorBidi" w:hAnsiTheme="majorBidi" w:cstheme="majorBidi"/>
          <w:sz w:val="32"/>
          <w:szCs w:val="32"/>
        </w:rPr>
        <w:t>. »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Certains continuent encore à l'heure actuelle à privilégier une distinction entre ces deux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termes, distinction reprenant en partie au moins les différences cliniques liées à l'âge auquel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se manifestent les troubles. La phobie scolaire fait donc débat tant autour de sa terminologie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et de la signification phobique du symptôme que sur l’organisation psychopathologique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sous-jacente</w:t>
      </w:r>
      <w:r>
        <w:rPr>
          <w:rFonts w:asciiTheme="majorBidi" w:hAnsiTheme="majorBidi" w:cstheme="majorBidi"/>
          <w:sz w:val="32"/>
          <w:szCs w:val="32"/>
        </w:rPr>
        <w:t xml:space="preserve"> .</w:t>
      </w:r>
      <w:r w:rsidRPr="008076D3">
        <w:rPr>
          <w:rFonts w:asciiTheme="majorBidi" w:hAnsiTheme="majorBidi" w:cstheme="majorBidi"/>
          <w:sz w:val="32"/>
          <w:szCs w:val="32"/>
        </w:rPr>
        <w:t>Plus récemment certains auteurs font de cette entité un syndrome d’inadaptation scolaire : la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pression scolaire est devenue telle que la phobie révèlerait la fragilité des élèves incapables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de répondre à la norme de l’école.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En ce qui concerne Classification Internationale des Maladies (CIM) et Manuel diagnostique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et statistique des troubles mentaux (DSM), la phobie scolaire n’est plus nommée en tant que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 xml:space="preserve">telle et est diluée dans d’autres catégories diagnostiques </w:t>
      </w:r>
      <w:r w:rsidRPr="008076D3">
        <w:rPr>
          <w:rFonts w:asciiTheme="majorBidi" w:hAnsiTheme="majorBidi" w:cstheme="majorBidi"/>
          <w:sz w:val="32"/>
          <w:szCs w:val="32"/>
        </w:rPr>
        <w:lastRenderedPageBreak/>
        <w:t>sous la forme de « trouble anxieux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8076D3">
        <w:rPr>
          <w:rFonts w:asciiTheme="majorBidi" w:hAnsiTheme="majorBidi" w:cstheme="majorBidi"/>
          <w:sz w:val="32"/>
          <w:szCs w:val="32"/>
        </w:rPr>
        <w:t>de séparation » ou sous la forme d’une phobie sociale.</w:t>
      </w:r>
    </w:p>
    <w:p w:rsidR="008076D3" w:rsidRPr="008076D3" w:rsidRDefault="008076D3" w:rsidP="008076D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En revanche, elle subsiste dans la littérature francophone et notamment dans la CFTMEA</w:t>
      </w:r>
    </w:p>
    <w:p w:rsidR="008076D3" w:rsidRDefault="008076D3" w:rsidP="008076D3">
      <w:pPr>
        <w:rPr>
          <w:rFonts w:asciiTheme="majorBidi" w:hAnsiTheme="majorBidi" w:cstheme="majorBidi"/>
          <w:sz w:val="32"/>
          <w:szCs w:val="32"/>
        </w:rPr>
      </w:pPr>
      <w:r w:rsidRPr="008076D3">
        <w:rPr>
          <w:rFonts w:asciiTheme="majorBidi" w:hAnsiTheme="majorBidi" w:cstheme="majorBidi"/>
          <w:sz w:val="32"/>
          <w:szCs w:val="32"/>
        </w:rPr>
        <w:t>(Classification Française des Troubles Mentaux de l’Enfant et de l’Adolescent).</w:t>
      </w:r>
    </w:p>
    <w:p w:rsidR="008076D3" w:rsidRDefault="008076D3" w:rsidP="008076D3">
      <w:pPr>
        <w:rPr>
          <w:rFonts w:asciiTheme="majorBidi" w:hAnsiTheme="majorBidi" w:cstheme="majorBidi"/>
          <w:sz w:val="32"/>
          <w:szCs w:val="32"/>
        </w:rPr>
      </w:pPr>
    </w:p>
    <w:p w:rsidR="008076D3" w:rsidRPr="0015386A" w:rsidRDefault="008076D3" w:rsidP="0080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386A">
        <w:rPr>
          <w:rFonts w:ascii="Times New Roman" w:hAnsi="Times New Roman" w:cs="Times New Roman"/>
          <w:b/>
          <w:bCs/>
          <w:sz w:val="28"/>
          <w:szCs w:val="28"/>
          <w:u w:val="single"/>
        </w:rPr>
        <w:t>Bibliographie</w:t>
      </w:r>
    </w:p>
    <w:p w:rsidR="008076D3" w:rsidRPr="0015386A" w:rsidRDefault="008076D3" w:rsidP="0015386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15386A">
        <w:rPr>
          <w:rFonts w:ascii="Arial" w:hAnsi="Arial" w:cs="Arial"/>
          <w:sz w:val="24"/>
          <w:szCs w:val="24"/>
        </w:rPr>
        <w:t>Jihann</w:t>
      </w:r>
      <w:proofErr w:type="spellEnd"/>
      <w:r w:rsidRPr="001538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86A">
        <w:rPr>
          <w:rFonts w:ascii="Arial" w:hAnsi="Arial" w:cs="Arial"/>
          <w:sz w:val="24"/>
          <w:szCs w:val="24"/>
        </w:rPr>
        <w:t>Kheladi</w:t>
      </w:r>
      <w:proofErr w:type="spellEnd"/>
      <w:r w:rsidRPr="0015386A">
        <w:rPr>
          <w:rFonts w:ascii="Arial" w:hAnsi="Arial" w:cs="Arial"/>
          <w:sz w:val="24"/>
          <w:szCs w:val="24"/>
        </w:rPr>
        <w:t xml:space="preserve"> </w:t>
      </w:r>
      <w:r w:rsidR="0015386A" w:rsidRPr="0015386A">
        <w:rPr>
          <w:rFonts w:ascii="Arial" w:hAnsi="Arial" w:cs="Arial"/>
          <w:sz w:val="24"/>
          <w:szCs w:val="24"/>
        </w:rPr>
        <w:t xml:space="preserve">&amp; Marcel </w:t>
      </w:r>
      <w:proofErr w:type="spellStart"/>
      <w:r w:rsidR="0015386A" w:rsidRPr="0015386A">
        <w:rPr>
          <w:rFonts w:ascii="Arial" w:hAnsi="Arial" w:cs="Arial"/>
          <w:sz w:val="24"/>
          <w:szCs w:val="24"/>
        </w:rPr>
        <w:t>Lourel</w:t>
      </w:r>
      <w:proofErr w:type="spellEnd"/>
      <w:proofErr w:type="gramStart"/>
      <w:r w:rsidR="0015386A" w:rsidRPr="0015386A">
        <w:rPr>
          <w:rFonts w:ascii="Arial" w:hAnsi="Arial" w:cs="Arial"/>
          <w:sz w:val="24"/>
          <w:szCs w:val="24"/>
        </w:rPr>
        <w:t>.(</w:t>
      </w:r>
      <w:proofErr w:type="gramEnd"/>
      <w:r w:rsidR="0015386A" w:rsidRPr="0015386A">
        <w:rPr>
          <w:rFonts w:ascii="Arial" w:hAnsi="Arial" w:cs="Arial"/>
          <w:sz w:val="24"/>
          <w:szCs w:val="24"/>
        </w:rPr>
        <w:t xml:space="preserve">2015). </w:t>
      </w:r>
      <w:r w:rsidRPr="0015386A">
        <w:rPr>
          <w:rFonts w:ascii="Arial" w:hAnsi="Arial" w:cs="Arial"/>
          <w:sz w:val="24"/>
          <w:szCs w:val="24"/>
        </w:rPr>
        <w:t xml:space="preserve">La phobie scolaire ou refus anxieux </w:t>
      </w:r>
      <w:r w:rsidR="0015386A" w:rsidRPr="0015386A">
        <w:rPr>
          <w:rFonts w:ascii="Arial" w:hAnsi="Arial" w:cs="Arial"/>
          <w:sz w:val="24"/>
          <w:szCs w:val="24"/>
        </w:rPr>
        <w:t xml:space="preserve">scolaire. </w:t>
      </w:r>
      <w:proofErr w:type="gramStart"/>
      <w:r w:rsidR="0015386A" w:rsidRPr="0015386A">
        <w:rPr>
          <w:rFonts w:ascii="Arial" w:hAnsi="Arial" w:cs="Arial"/>
          <w:sz w:val="24"/>
          <w:szCs w:val="24"/>
        </w:rPr>
        <w:t>mémoire</w:t>
      </w:r>
      <w:proofErr w:type="gramEnd"/>
      <w:r w:rsidR="0015386A" w:rsidRPr="0015386A">
        <w:rPr>
          <w:rFonts w:ascii="Arial" w:hAnsi="Arial" w:cs="Arial"/>
          <w:sz w:val="24"/>
          <w:szCs w:val="24"/>
        </w:rPr>
        <w:t xml:space="preserve"> semestre 4 .Ecole Supérieure du Professorat et de l Education. Lille. France. </w:t>
      </w:r>
    </w:p>
    <w:sectPr w:rsidR="008076D3" w:rsidRPr="0015386A" w:rsidSect="00807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60A"/>
    <w:multiLevelType w:val="hybridMultilevel"/>
    <w:tmpl w:val="46687B0C"/>
    <w:lvl w:ilvl="0" w:tplc="8D825F3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11A81"/>
    <w:multiLevelType w:val="hybridMultilevel"/>
    <w:tmpl w:val="C70252C8"/>
    <w:lvl w:ilvl="0" w:tplc="C6982C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B3838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8575E"/>
    <w:multiLevelType w:val="hybridMultilevel"/>
    <w:tmpl w:val="30DEF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D7836"/>
    <w:multiLevelType w:val="hybridMultilevel"/>
    <w:tmpl w:val="C70252C8"/>
    <w:lvl w:ilvl="0" w:tplc="C6982C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B3838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76D3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386A"/>
    <w:rsid w:val="0015593B"/>
    <w:rsid w:val="0015639F"/>
    <w:rsid w:val="00156A40"/>
    <w:rsid w:val="00156DC7"/>
    <w:rsid w:val="00161211"/>
    <w:rsid w:val="00162683"/>
    <w:rsid w:val="00162981"/>
    <w:rsid w:val="00162EFE"/>
    <w:rsid w:val="001703B6"/>
    <w:rsid w:val="00173A71"/>
    <w:rsid w:val="00173E01"/>
    <w:rsid w:val="001766D1"/>
    <w:rsid w:val="00176AA3"/>
    <w:rsid w:val="00177AA1"/>
    <w:rsid w:val="00180359"/>
    <w:rsid w:val="00181406"/>
    <w:rsid w:val="00186436"/>
    <w:rsid w:val="00191B30"/>
    <w:rsid w:val="0019463C"/>
    <w:rsid w:val="001948BB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EC"/>
    <w:rsid w:val="00284730"/>
    <w:rsid w:val="0028746F"/>
    <w:rsid w:val="00287A33"/>
    <w:rsid w:val="00287FEF"/>
    <w:rsid w:val="002936E0"/>
    <w:rsid w:val="00297CCE"/>
    <w:rsid w:val="002A1AF9"/>
    <w:rsid w:val="002A1F8B"/>
    <w:rsid w:val="002A23C4"/>
    <w:rsid w:val="002A4874"/>
    <w:rsid w:val="002B0A99"/>
    <w:rsid w:val="002B1E62"/>
    <w:rsid w:val="002B245B"/>
    <w:rsid w:val="002B247C"/>
    <w:rsid w:val="002B27C6"/>
    <w:rsid w:val="002B3B50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AAC"/>
    <w:rsid w:val="00334CCE"/>
    <w:rsid w:val="00335E88"/>
    <w:rsid w:val="00336E19"/>
    <w:rsid w:val="00340065"/>
    <w:rsid w:val="003410E3"/>
    <w:rsid w:val="0034410D"/>
    <w:rsid w:val="00344995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69C1"/>
    <w:rsid w:val="0037796A"/>
    <w:rsid w:val="003827DC"/>
    <w:rsid w:val="003860F7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222B6"/>
    <w:rsid w:val="004240AF"/>
    <w:rsid w:val="004243A0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3D02"/>
    <w:rsid w:val="004649CE"/>
    <w:rsid w:val="00467101"/>
    <w:rsid w:val="00467546"/>
    <w:rsid w:val="0047012E"/>
    <w:rsid w:val="00471704"/>
    <w:rsid w:val="00472D26"/>
    <w:rsid w:val="00475D87"/>
    <w:rsid w:val="00476FC4"/>
    <w:rsid w:val="0047796A"/>
    <w:rsid w:val="00477C2F"/>
    <w:rsid w:val="00477F97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BAA"/>
    <w:rsid w:val="004D5DE2"/>
    <w:rsid w:val="004D5ED3"/>
    <w:rsid w:val="004D775C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CDF"/>
    <w:rsid w:val="005C59EF"/>
    <w:rsid w:val="005C7C44"/>
    <w:rsid w:val="005C7CA8"/>
    <w:rsid w:val="005D01D4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F09"/>
    <w:rsid w:val="0063514B"/>
    <w:rsid w:val="006356C4"/>
    <w:rsid w:val="00637119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7135C"/>
    <w:rsid w:val="00671B94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422"/>
    <w:rsid w:val="006A7A52"/>
    <w:rsid w:val="006A7EF2"/>
    <w:rsid w:val="006B03B7"/>
    <w:rsid w:val="006B0F3B"/>
    <w:rsid w:val="006B20D3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6F7331"/>
    <w:rsid w:val="00700509"/>
    <w:rsid w:val="00701767"/>
    <w:rsid w:val="00703344"/>
    <w:rsid w:val="0070666B"/>
    <w:rsid w:val="00707CC0"/>
    <w:rsid w:val="00707D9A"/>
    <w:rsid w:val="00707E23"/>
    <w:rsid w:val="00710235"/>
    <w:rsid w:val="00711842"/>
    <w:rsid w:val="00713631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416"/>
    <w:rsid w:val="00732D74"/>
    <w:rsid w:val="00732DD2"/>
    <w:rsid w:val="00733DFF"/>
    <w:rsid w:val="00734C65"/>
    <w:rsid w:val="00734E07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6E37"/>
    <w:rsid w:val="007E016A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076D3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348"/>
    <w:rsid w:val="009B4B24"/>
    <w:rsid w:val="009B4BBF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62E"/>
    <w:rsid w:val="00A116BE"/>
    <w:rsid w:val="00A11783"/>
    <w:rsid w:val="00A12327"/>
    <w:rsid w:val="00A13B34"/>
    <w:rsid w:val="00A14623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5324"/>
    <w:rsid w:val="00B059CC"/>
    <w:rsid w:val="00B07250"/>
    <w:rsid w:val="00B10F3F"/>
    <w:rsid w:val="00B1250B"/>
    <w:rsid w:val="00B132CD"/>
    <w:rsid w:val="00B13BCF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2196"/>
    <w:rsid w:val="00C62E8B"/>
    <w:rsid w:val="00C655E0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7E1"/>
    <w:rsid w:val="00D51218"/>
    <w:rsid w:val="00D5129A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C4B"/>
    <w:rsid w:val="00DE1064"/>
    <w:rsid w:val="00DE1E33"/>
    <w:rsid w:val="00DE2319"/>
    <w:rsid w:val="00DE29FE"/>
    <w:rsid w:val="00DE4D55"/>
    <w:rsid w:val="00DE6519"/>
    <w:rsid w:val="00DE66CB"/>
    <w:rsid w:val="00DE6A61"/>
    <w:rsid w:val="00DE7A9F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2D0A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25FC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7EC0"/>
    <w:rsid w:val="00F008F2"/>
    <w:rsid w:val="00F03F4D"/>
    <w:rsid w:val="00F04F35"/>
    <w:rsid w:val="00F07102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BE4"/>
    <w:rsid w:val="00F27DD0"/>
    <w:rsid w:val="00F303D1"/>
    <w:rsid w:val="00F32EBC"/>
    <w:rsid w:val="00F33CA1"/>
    <w:rsid w:val="00F33CA7"/>
    <w:rsid w:val="00F35BB4"/>
    <w:rsid w:val="00F36801"/>
    <w:rsid w:val="00F36E32"/>
    <w:rsid w:val="00F41D17"/>
    <w:rsid w:val="00F42C1E"/>
    <w:rsid w:val="00F432D8"/>
    <w:rsid w:val="00F437C5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701F"/>
    <w:rsid w:val="00F817ED"/>
    <w:rsid w:val="00F8252F"/>
    <w:rsid w:val="00F86FBB"/>
    <w:rsid w:val="00F87978"/>
    <w:rsid w:val="00F90733"/>
    <w:rsid w:val="00F907B4"/>
    <w:rsid w:val="00F90E28"/>
    <w:rsid w:val="00F911D7"/>
    <w:rsid w:val="00F91D6C"/>
    <w:rsid w:val="00F91DBB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653"/>
    <w:rsid w:val="00FD0A07"/>
    <w:rsid w:val="00FD0EF9"/>
    <w:rsid w:val="00FD185E"/>
    <w:rsid w:val="00FD204E"/>
    <w:rsid w:val="00FD31EC"/>
    <w:rsid w:val="00FD413D"/>
    <w:rsid w:val="00FD437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A9BA-A1AC-4D13-9DC2-58B70999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2023-04-02T23:31:00Z</dcterms:created>
  <dcterms:modified xsi:type="dcterms:W3CDTF">2023-04-03T00:03:00Z</dcterms:modified>
</cp:coreProperties>
</file>