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7B" w:rsidRDefault="00D85E7B" w:rsidP="00AA033C">
      <w:pPr>
        <w:shd w:val="clear" w:color="auto" w:fill="DAEEF3" w:themeFill="accent5" w:themeFillTint="33"/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</w:pPr>
      <w:r w:rsidRPr="00D85E7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سلسلة الأعمال الموجهة رقم </w:t>
      </w:r>
      <w:r w:rsidR="00AA033C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03</w:t>
      </w:r>
      <w:r w:rsidRPr="00D85E7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: التخفيضات </w:t>
      </w:r>
      <w:r w:rsidRPr="00D85E7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  <w:t>–</w:t>
      </w:r>
      <w:r w:rsidRPr="00D85E7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 الأغلفة </w:t>
      </w:r>
      <w:r w:rsidRPr="00D85E7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  <w:t>–</w:t>
      </w:r>
      <w:r w:rsidRPr="00D85E7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 الوراق التجارية</w:t>
      </w:r>
    </w:p>
    <w:p w:rsidR="009B0F89" w:rsidRPr="009B0F89" w:rsidRDefault="009B0F89" w:rsidP="00D85E7B">
      <w:pPr>
        <w:bidi/>
        <w:rPr>
          <w:rFonts w:asciiTheme="majorBidi" w:hAnsiTheme="majorBidi" w:cstheme="majorBidi"/>
          <w:b/>
          <w:bCs/>
          <w:color w:val="3333FF"/>
          <w:sz w:val="20"/>
          <w:szCs w:val="20"/>
          <w:u w:val="single"/>
          <w:lang w:bidi="ar-DZ"/>
        </w:rPr>
      </w:pPr>
    </w:p>
    <w:p w:rsidR="00D85E7B" w:rsidRPr="00D85E7B" w:rsidRDefault="00D85E7B" w:rsidP="009B0F89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0D19">
        <w:rPr>
          <w:rFonts w:asciiTheme="majorBidi" w:hAnsiTheme="majorBidi" w:cstheme="majorBidi"/>
          <w:b/>
          <w:bCs/>
          <w:color w:val="3333FF"/>
          <w:sz w:val="28"/>
          <w:szCs w:val="28"/>
          <w:u w:val="single"/>
          <w:rtl/>
          <w:lang w:bidi="ar-DZ"/>
        </w:rPr>
        <w:t>التمرين الأول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r w:rsidRPr="00D85E7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بتاريخ 05 / 01 / 10 باعت، على الحساب، مؤسسة إنتاجية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إلى  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منتوج تام سلم في نفس اليوم 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تضمنت الفاتورة ما يلي: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>ثمن البيع خارج الرسم  000 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500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دج ، خصم تعجيل الدفع 2.5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تخفيض تجاري أول 4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تخفيض تجاري ثاني 5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- مصاريف النقل خارج الرسم 400 55 دج، أغلفة مسترجعة 5000 دج. وبعد أسبوع قررت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الاحتفاظ بالأغلفة وأخبرت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بذلك.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D85E7B" w:rsidRPr="009B0F89" w:rsidRDefault="00D85E7B" w:rsidP="00D85E7B">
      <w:pPr>
        <w:bidi/>
        <w:rPr>
          <w:rFonts w:asciiTheme="majorBidi" w:hAnsiTheme="majorBidi" w:cstheme="majorBidi"/>
          <w:sz w:val="12"/>
          <w:szCs w:val="12"/>
          <w:rtl/>
          <w:lang w:bidi="ar-DZ"/>
        </w:rPr>
      </w:pPr>
    </w:p>
    <w:p w:rsidR="00D85E7B" w:rsidRPr="00D85E7B" w:rsidRDefault="00D85E7B" w:rsidP="00D85E7B">
      <w:pPr>
        <w:bidi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المطلوب: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إنجاز الفاتورة 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>علما أن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(TVA 19%)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وتسجيلها 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>ثم تسجيل الاحتفاظ بالأغلفة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عند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. مع العلم أن تكلفة أنتاج المنتوج هي 000 400 دج.</w:t>
      </w:r>
    </w:p>
    <w:p w:rsidR="00D85E7B" w:rsidRPr="00D85E7B" w:rsidRDefault="00D85E7B" w:rsidP="00D85E7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D85E7B" w:rsidRPr="00D85E7B" w:rsidRDefault="00D85E7B" w:rsidP="00D85E7B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C00D19">
        <w:rPr>
          <w:rFonts w:asciiTheme="majorBidi" w:hAnsiTheme="majorBidi" w:cstheme="majorBidi"/>
          <w:b/>
          <w:bCs/>
          <w:color w:val="3333FF"/>
          <w:sz w:val="28"/>
          <w:szCs w:val="28"/>
          <w:u w:val="single"/>
          <w:rtl/>
          <w:lang w:bidi="ar-DZ"/>
        </w:rPr>
        <w:t>التمرين الثاني</w:t>
      </w:r>
      <w:r w:rsidRPr="00D85E7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:</w:t>
      </w:r>
    </w:p>
    <w:tbl>
      <w:tblPr>
        <w:bidiVisual/>
        <w:tblW w:w="10690" w:type="dxa"/>
        <w:tblInd w:w="1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8"/>
        <w:gridCol w:w="5672"/>
      </w:tblGrid>
      <w:tr w:rsidR="00D85E7B" w:rsidRPr="00D85E7B" w:rsidTr="00D85E7B">
        <w:trPr>
          <w:trHeight w:val="5911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في05/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/12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باعت مؤسسة تجارية بضاعة على الحساب بالفاتورة الآتية،.، مع العلم أن تكلفة شراء البضاعة هي 000 560 دج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10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/12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احتفظ الزبون بنصف الأغلفة وارجع النصف الآخر وبه عطب جزئي قدر 2930دج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/12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سحب الزبون ورقة تجارية تستحق بعد 3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أشهر لتسديد ما عليه من ديون 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المطلوب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1)إتمام تصوير الفاتورة وتسجيلها في يومية المورد ويومية الزبون بتاريخ 05/05/12 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2) تسجيل عملية إرجاع الأغلفة في يومية المورد ويومية الزبون بتاريخ 10/05/12.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3) تسجيل عملية سحب الورقة التجارية في يومية المورد والزبون بتاريخ 15/05/12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4) في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15/</w:t>
            </w:r>
            <w:r w:rsidRPr="00D85E7B">
              <w:rPr>
                <w:rFonts w:asciiTheme="majorBidi" w:hAnsiTheme="majorBidi" w:cstheme="majorBidi"/>
                <w:color w:val="FF0000"/>
                <w:sz w:val="28"/>
                <w:szCs w:val="28"/>
                <w:lang w:val="en-US" w:bidi="ar-DZ"/>
              </w:rPr>
              <w:t>08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/12 أرسلت المؤسسة (المورد) الورقة التجارية إلى البنك للتحصيل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5)في 18/</w:t>
            </w:r>
            <w:r w:rsidRPr="00D85E7B">
              <w:rPr>
                <w:rFonts w:asciiTheme="majorBidi" w:hAnsiTheme="majorBidi" w:cstheme="majorBidi"/>
                <w:color w:val="FF0000"/>
                <w:sz w:val="28"/>
                <w:szCs w:val="28"/>
                <w:lang w:val="en-US" w:bidi="ar-DZ"/>
              </w:rPr>
              <w:t>08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/12  وصل إشعار من البنك بتحصيل الورقة التجارية وتحمل مصاريف التحصيل 5000 دج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      الــــفـــاتـــــورة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ثمن بيع البضاعة خارج الرسم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       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تخفيض تجاري  أول بـ  4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: 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الصافي التجاري الأول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=.....................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تخفيض تجاري ثاني  بـ 5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     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=...............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---------الصافي التجاري الثاني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: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=...................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خصم تعجيل الدفع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2.5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:          </w:t>
            </w:r>
            <w:r w:rsidR="00A3693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---------الصافي المالي للبضاعة (خارج الرسم).=     900 666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مصاريف النقل ( خارج الرسم )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=.....100 90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ر.ق.م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) خاص بالمادة الأولية 09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=</w:t>
            </w:r>
            <w:r w:rsidRPr="00D85E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ر.ق.م (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) على مصاريف النقل 19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=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............. 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.أغلفة قابلة للاسترجاع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:     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=    860 15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---------  المبلغ المستحق الدفع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:  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D85E7B" w:rsidRPr="00D85E7B" w:rsidRDefault="00D85E7B" w:rsidP="00D85E7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85E7B" w:rsidRPr="00D85E7B" w:rsidRDefault="00D85E7B" w:rsidP="00D85E7B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0D19">
        <w:rPr>
          <w:rFonts w:asciiTheme="majorBidi" w:hAnsiTheme="majorBidi" w:cstheme="majorBidi"/>
          <w:b/>
          <w:bCs/>
          <w:color w:val="3333FF"/>
          <w:sz w:val="28"/>
          <w:szCs w:val="28"/>
          <w:rtl/>
          <w:lang w:bidi="ar-DZ"/>
        </w:rPr>
        <w:t>التمرين الثالث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في 01/04/12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باعت على الحساب مؤسسة إنتاجية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إلى  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منتوج تام الصنع بمبلغ 000 450 دج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>سلم في نفس اليوم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،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تكلفة خروجه من المخازن 000 280 دج ، ويكون السديد بعد شهر.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(TVA 19%)</w:t>
      </w:r>
    </w:p>
    <w:p w:rsidR="00D85E7B" w:rsidRPr="00C00D19" w:rsidRDefault="00D85E7B" w:rsidP="00D85E7B">
      <w:pPr>
        <w:bidi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D85E7B" w:rsidRPr="00D85E7B" w:rsidRDefault="00D85E7B" w:rsidP="00D85E7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في 03/04/12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تبين للمؤسسة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 ثلث السلعة المستلمة بتاريخ 01 / 04 / 12 غير مطابقة للمواصفات المتفق عليها وأخبرت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بذلك فحررت هذه الأخيرة </w:t>
      </w:r>
      <w:r w:rsidRPr="00D85E7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فاتورة إنقاص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مانحة تخفيض تجاري للمؤسسة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بنسبة  10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 قيمة السلعة غير المطابقة للمواصفات.</w:t>
      </w:r>
    </w:p>
    <w:p w:rsidR="00D85E7B" w:rsidRPr="00D85E7B" w:rsidRDefault="00D85E7B" w:rsidP="00D85E7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في 10/04/12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قررت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تسديد ما عليها من ديون نحو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قبل تاريخ استحقاقها فاستفادت من خصم تعجيل الدفع  بنسبة 2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ديونها نحو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وصلها بواسطة فاتورة إنقاص  وتم التسديد بشيك بنكي.</w:t>
      </w:r>
    </w:p>
    <w:p w:rsidR="00D85E7B" w:rsidRPr="00C00D19" w:rsidRDefault="00D85E7B" w:rsidP="00D85E7B">
      <w:pPr>
        <w:bidi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D85E7B" w:rsidRDefault="00D85E7B" w:rsidP="00D85E7B">
      <w:pPr>
        <w:bidi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المطلوب: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تسجيل هذه العمليات عند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وعند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C00D19" w:rsidRPr="00C00D19" w:rsidRDefault="00C00D19" w:rsidP="00C00D19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D85E7B" w:rsidRPr="00D85E7B" w:rsidRDefault="00D85E7B" w:rsidP="00D85E7B">
      <w:pPr>
        <w:shd w:val="clear" w:color="auto" w:fill="DAEEF3"/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أساتذة المادة.</w:t>
      </w:r>
    </w:p>
    <w:sectPr w:rsidR="00D85E7B" w:rsidRPr="00D85E7B" w:rsidSect="00C91A3A">
      <w:headerReference w:type="default" r:id="rId8"/>
      <w:pgSz w:w="11906" w:h="16838"/>
      <w:pgMar w:top="1134" w:right="1274" w:bottom="1134" w:left="1134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05" w:rsidRDefault="00ED2505" w:rsidP="003D04C1">
      <w:r>
        <w:separator/>
      </w:r>
    </w:p>
  </w:endnote>
  <w:endnote w:type="continuationSeparator" w:id="1">
    <w:p w:rsidR="00ED2505" w:rsidRDefault="00ED2505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05" w:rsidRDefault="00ED2505" w:rsidP="003D04C1">
      <w:r>
        <w:separator/>
      </w:r>
    </w:p>
  </w:footnote>
  <w:footnote w:type="continuationSeparator" w:id="1">
    <w:p w:rsidR="00ED2505" w:rsidRDefault="00ED2505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7B" w:rsidRPr="009364CB" w:rsidRDefault="00D85E7B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D85E7B" w:rsidRPr="00AF3044" w:rsidRDefault="00D85E7B" w:rsidP="009364CB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دروس على الخط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مقياس المحاسبة العامة (2)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السنة الأولى جذع مشترك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CC3CDD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CC3CDD" w:rsidRPr="009364CB">
      <w:rPr>
        <w:rStyle w:val="Numrodepage"/>
      </w:rPr>
      <w:fldChar w:fldCharType="separate"/>
    </w:r>
    <w:r w:rsidR="00AA033C">
      <w:rPr>
        <w:rStyle w:val="Numrodepage"/>
        <w:noProof/>
        <w:rtl/>
      </w:rPr>
      <w:t>1</w:t>
    </w:r>
    <w:r w:rsidR="00CC3CDD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D85E7B" w:rsidRDefault="00D85E7B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C75D5"/>
    <w:multiLevelType w:val="hybridMultilevel"/>
    <w:tmpl w:val="3D1266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31A74"/>
    <w:multiLevelType w:val="hybridMultilevel"/>
    <w:tmpl w:val="E97CE4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A4162"/>
    <w:multiLevelType w:val="hybridMultilevel"/>
    <w:tmpl w:val="2B48CD8A"/>
    <w:lvl w:ilvl="0" w:tplc="79E6E59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8E0413"/>
    <w:multiLevelType w:val="hybridMultilevel"/>
    <w:tmpl w:val="8D5A3E74"/>
    <w:lvl w:ilvl="0" w:tplc="09DE0C2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52511"/>
    <w:multiLevelType w:val="hybridMultilevel"/>
    <w:tmpl w:val="AF96A730"/>
    <w:lvl w:ilvl="0" w:tplc="7B24A878">
      <w:start w:val="500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24"/>
  </w:num>
  <w:num w:numId="5">
    <w:abstractNumId w:val="19"/>
  </w:num>
  <w:num w:numId="6">
    <w:abstractNumId w:val="16"/>
  </w:num>
  <w:num w:numId="7">
    <w:abstractNumId w:val="4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8"/>
  </w:num>
  <w:num w:numId="13">
    <w:abstractNumId w:val="3"/>
  </w:num>
  <w:num w:numId="14">
    <w:abstractNumId w:val="15"/>
  </w:num>
  <w:num w:numId="15">
    <w:abstractNumId w:val="10"/>
  </w:num>
  <w:num w:numId="16">
    <w:abstractNumId w:val="9"/>
  </w:num>
  <w:num w:numId="17">
    <w:abstractNumId w:val="1"/>
  </w:num>
  <w:num w:numId="18">
    <w:abstractNumId w:val="20"/>
  </w:num>
  <w:num w:numId="19">
    <w:abstractNumId w:val="18"/>
  </w:num>
  <w:num w:numId="20">
    <w:abstractNumId w:val="7"/>
  </w:num>
  <w:num w:numId="21">
    <w:abstractNumId w:val="5"/>
  </w:num>
  <w:num w:numId="22">
    <w:abstractNumId w:val="11"/>
  </w:num>
  <w:num w:numId="23">
    <w:abstractNumId w:val="25"/>
  </w:num>
  <w:num w:numId="24">
    <w:abstractNumId w:val="26"/>
  </w:num>
  <w:num w:numId="25">
    <w:abstractNumId w:val="23"/>
  </w:num>
  <w:num w:numId="26">
    <w:abstractNumId w:val="12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61E4F"/>
    <w:rsid w:val="000767DC"/>
    <w:rsid w:val="00087807"/>
    <w:rsid w:val="000D5691"/>
    <w:rsid w:val="00101269"/>
    <w:rsid w:val="00194E86"/>
    <w:rsid w:val="001C2FA7"/>
    <w:rsid w:val="001C6816"/>
    <w:rsid w:val="001D5931"/>
    <w:rsid w:val="0021321B"/>
    <w:rsid w:val="00275421"/>
    <w:rsid w:val="00281FA2"/>
    <w:rsid w:val="00313876"/>
    <w:rsid w:val="003347C2"/>
    <w:rsid w:val="00342BCA"/>
    <w:rsid w:val="00356772"/>
    <w:rsid w:val="00357503"/>
    <w:rsid w:val="00367CA2"/>
    <w:rsid w:val="00384DB7"/>
    <w:rsid w:val="00386903"/>
    <w:rsid w:val="0039555B"/>
    <w:rsid w:val="003D04C1"/>
    <w:rsid w:val="00427B60"/>
    <w:rsid w:val="00447074"/>
    <w:rsid w:val="0046183E"/>
    <w:rsid w:val="00483864"/>
    <w:rsid w:val="00487C57"/>
    <w:rsid w:val="004971E7"/>
    <w:rsid w:val="004A4C65"/>
    <w:rsid w:val="004B2E62"/>
    <w:rsid w:val="004B3862"/>
    <w:rsid w:val="00511545"/>
    <w:rsid w:val="005210B6"/>
    <w:rsid w:val="005330ED"/>
    <w:rsid w:val="00550341"/>
    <w:rsid w:val="0057116B"/>
    <w:rsid w:val="005A7151"/>
    <w:rsid w:val="005D0210"/>
    <w:rsid w:val="00612FEC"/>
    <w:rsid w:val="0065028A"/>
    <w:rsid w:val="00657734"/>
    <w:rsid w:val="00657BB8"/>
    <w:rsid w:val="00663102"/>
    <w:rsid w:val="00692816"/>
    <w:rsid w:val="006A51A2"/>
    <w:rsid w:val="006A727C"/>
    <w:rsid w:val="006F4C72"/>
    <w:rsid w:val="00707882"/>
    <w:rsid w:val="00791EFF"/>
    <w:rsid w:val="008234CE"/>
    <w:rsid w:val="00833226"/>
    <w:rsid w:val="00887529"/>
    <w:rsid w:val="008971D0"/>
    <w:rsid w:val="008A6400"/>
    <w:rsid w:val="008D2A73"/>
    <w:rsid w:val="008D5FAE"/>
    <w:rsid w:val="008E416F"/>
    <w:rsid w:val="008E434A"/>
    <w:rsid w:val="00906AA3"/>
    <w:rsid w:val="009364CB"/>
    <w:rsid w:val="00941B14"/>
    <w:rsid w:val="00956C98"/>
    <w:rsid w:val="00967543"/>
    <w:rsid w:val="009A73E5"/>
    <w:rsid w:val="009B0F89"/>
    <w:rsid w:val="00A11B72"/>
    <w:rsid w:val="00A31625"/>
    <w:rsid w:val="00A36930"/>
    <w:rsid w:val="00A60CDB"/>
    <w:rsid w:val="00A67DD1"/>
    <w:rsid w:val="00AA033C"/>
    <w:rsid w:val="00AC2BD9"/>
    <w:rsid w:val="00AF4319"/>
    <w:rsid w:val="00B005A7"/>
    <w:rsid w:val="00B1546C"/>
    <w:rsid w:val="00B21272"/>
    <w:rsid w:val="00B27640"/>
    <w:rsid w:val="00B34C09"/>
    <w:rsid w:val="00B9118E"/>
    <w:rsid w:val="00BA5B8B"/>
    <w:rsid w:val="00C00D19"/>
    <w:rsid w:val="00C02E54"/>
    <w:rsid w:val="00C2794C"/>
    <w:rsid w:val="00C679B1"/>
    <w:rsid w:val="00C85E85"/>
    <w:rsid w:val="00C91A3A"/>
    <w:rsid w:val="00CA0ED1"/>
    <w:rsid w:val="00CC3CDD"/>
    <w:rsid w:val="00CC5033"/>
    <w:rsid w:val="00CC62BA"/>
    <w:rsid w:val="00D26F1B"/>
    <w:rsid w:val="00D61411"/>
    <w:rsid w:val="00D737EA"/>
    <w:rsid w:val="00D85E7B"/>
    <w:rsid w:val="00DC537C"/>
    <w:rsid w:val="00E371E3"/>
    <w:rsid w:val="00E559BE"/>
    <w:rsid w:val="00E7497C"/>
    <w:rsid w:val="00E821EF"/>
    <w:rsid w:val="00E96DFB"/>
    <w:rsid w:val="00EC6E29"/>
    <w:rsid w:val="00ED2505"/>
    <w:rsid w:val="00EE5FBB"/>
    <w:rsid w:val="00F13696"/>
    <w:rsid w:val="00F20C42"/>
    <w:rsid w:val="00F34DBB"/>
    <w:rsid w:val="00F778A9"/>
    <w:rsid w:val="00F83844"/>
    <w:rsid w:val="00F9145E"/>
    <w:rsid w:val="00FB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BD0C290-751C-4629-91DE-928EEC1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Master</cp:lastModifiedBy>
  <cp:revision>34</cp:revision>
  <dcterms:created xsi:type="dcterms:W3CDTF">2019-08-13T15:00:00Z</dcterms:created>
  <dcterms:modified xsi:type="dcterms:W3CDTF">2023-02-25T20:47:00Z</dcterms:modified>
  <cp:contentStatus/>
</cp:coreProperties>
</file>