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1" w:rsidRPr="00197A42" w:rsidRDefault="00024F61" w:rsidP="00197A42">
      <w:pPr>
        <w:pStyle w:val="Corpsdetexte"/>
        <w:bidi/>
        <w:spacing w:before="119" w:line="276" w:lineRule="auto"/>
        <w:ind w:left="0" w:right="221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bookmarkStart w:id="0" w:name="_GoBack"/>
      <w:bookmarkEnd w:id="0"/>
      <w:proofErr w:type="spellStart"/>
      <w:r w:rsidRPr="00197A42">
        <w:rPr>
          <w:rFonts w:ascii="Simplified Arabic" w:hAnsi="Simplified Arabic" w:cs="Simplified Arabic"/>
          <w:b/>
          <w:bCs/>
          <w:sz w:val="36"/>
          <w:szCs w:val="36"/>
          <w:rtl/>
        </w:rPr>
        <w:t>البراديغم</w:t>
      </w:r>
      <w:proofErr w:type="spellEnd"/>
      <w:r w:rsidRPr="00197A42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التأويلي</w:t>
      </w:r>
    </w:p>
    <w:p w:rsidR="00501BB9" w:rsidRPr="00197A42" w:rsidRDefault="00501BB9" w:rsidP="00197A42">
      <w:pPr>
        <w:pStyle w:val="Corpsdetexte"/>
        <w:bidi/>
        <w:spacing w:before="119" w:line="276" w:lineRule="auto"/>
        <w:ind w:left="0" w:right="221"/>
        <w:jc w:val="both"/>
        <w:rPr>
          <w:rFonts w:ascii="Simplified Arabic" w:hAnsi="Simplified Arabic" w:cs="Simplified Arabic"/>
          <w:spacing w:val="-3"/>
          <w:sz w:val="28"/>
          <w:szCs w:val="28"/>
          <w:rtl/>
        </w:rPr>
      </w:pPr>
      <w:proofErr w:type="gramStart"/>
      <w:r w:rsidRPr="00197A42">
        <w:rPr>
          <w:rFonts w:ascii="Simplified Arabic" w:hAnsi="Simplified Arabic" w:cs="Simplified Arabic"/>
          <w:sz w:val="28"/>
          <w:szCs w:val="28"/>
          <w:rtl/>
        </w:rPr>
        <w:t>إن</w:t>
      </w:r>
      <w:proofErr w:type="gram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اﻟﻤﻘﺎرﺑﺔ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اﻟﺘﺄوﻳﻠﻴﺔ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ﺗﺨﺘﻠﻒ</w:t>
      </w:r>
      <w:proofErr w:type="spellEnd"/>
      <w:r w:rsidR="00024F61" w:rsidRPr="00197A42">
        <w:rPr>
          <w:rFonts w:ascii="Simplified Arabic" w:hAnsi="Simplified Arabic" w:cs="Simplified Arabic"/>
          <w:spacing w:val="64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اﻟﻤﻘﺎرﺑﺔ</w:t>
      </w:r>
      <w:proofErr w:type="spellEnd"/>
      <w:r w:rsidR="00024F61" w:rsidRPr="00197A42">
        <w:rPr>
          <w:rFonts w:ascii="Simplified Arabic" w:hAnsi="Simplified Arabic" w:cs="Simplified Arabic"/>
          <w:spacing w:val="64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اﻟﺘﺄوﻳﻠﻴﺔ</w:t>
      </w:r>
      <w:proofErr w:type="spellEnd"/>
      <w:r w:rsidR="00024F61" w:rsidRPr="00197A42">
        <w:rPr>
          <w:rFonts w:ascii="Simplified Arabic" w:hAnsi="Simplified Arabic" w:cs="Simplified Arabic"/>
          <w:spacing w:val="64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="00024F61" w:rsidRPr="00197A42">
        <w:rPr>
          <w:rFonts w:ascii="Simplified Arabic" w:hAnsi="Simplified Arabic" w:cs="Simplified Arabic"/>
          <w:spacing w:val="66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اﻹﺗﺼﺎل</w:t>
      </w:r>
      <w:proofErr w:type="spellEnd"/>
      <w:r w:rsidR="00024F61" w:rsidRPr="00197A42">
        <w:rPr>
          <w:rFonts w:ascii="Simplified Arabic" w:hAnsi="Simplified Arabic" w:cs="Simplified Arabic"/>
          <w:spacing w:val="66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اﻟﻤﻨ</w:t>
      </w:r>
      <w:r w:rsidR="00024F61" w:rsidRPr="00197A42">
        <w:rPr>
          <w:rFonts w:hint="cs"/>
          <w:sz w:val="28"/>
          <w:szCs w:val="28"/>
          <w:rtl/>
        </w:rPr>
        <w:t>ﻈﻢ</w:t>
      </w:r>
      <w:proofErr w:type="spellEnd"/>
      <w:r w:rsidR="00024F61" w:rsidRPr="00197A42">
        <w:rPr>
          <w:rFonts w:ascii="Simplified Arabic" w:hAnsi="Simplified Arabic" w:cs="Simplified Arabic"/>
          <w:spacing w:val="65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ﻋ</w:t>
      </w:r>
      <w:r w:rsidR="00024F61" w:rsidRPr="00197A42">
        <w:rPr>
          <w:rFonts w:hint="cs"/>
          <w:sz w:val="28"/>
          <w:szCs w:val="28"/>
          <w:rtl/>
        </w:rPr>
        <w:t>ﻦ</w:t>
      </w:r>
      <w:proofErr w:type="spellEnd"/>
      <w:r w:rsidR="00024F61" w:rsidRPr="00197A42">
        <w:rPr>
          <w:rFonts w:ascii="Simplified Arabic" w:hAnsi="Simplified Arabic" w:cs="Simplified Arabic"/>
          <w:spacing w:val="64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اﻟﻤﻘﺎرﺑﺔ</w:t>
      </w:r>
      <w:proofErr w:type="spellEnd"/>
      <w:r w:rsidR="00024F61" w:rsidRPr="00197A42">
        <w:rPr>
          <w:rFonts w:ascii="Simplified Arabic" w:hAnsi="Simplified Arabic" w:cs="Simplified Arabic"/>
          <w:spacing w:val="64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</w:t>
      </w:r>
      <w:r w:rsidR="00024F61" w:rsidRPr="00197A42">
        <w:rPr>
          <w:rFonts w:hint="cs"/>
          <w:sz w:val="28"/>
          <w:szCs w:val="28"/>
          <w:rtl/>
        </w:rPr>
        <w:t>ﻮﻇ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ﻴﻔﻴﺔ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.</w:t>
      </w:r>
      <w:r w:rsidR="00024F61" w:rsidRPr="00197A42">
        <w:rPr>
          <w:rFonts w:ascii="Simplified Arabic" w:hAnsi="Simplified Arabic" w:cs="Simplified Arabic"/>
          <w:spacing w:val="65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ه</w:t>
      </w:r>
      <w:r w:rsidR="00024F61" w:rsidRPr="00197A42">
        <w:rPr>
          <w:rFonts w:hint="cs"/>
          <w:sz w:val="28"/>
          <w:szCs w:val="28"/>
          <w:rtl/>
        </w:rPr>
        <w:t>ﺬ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اﻟﻨﻤ</w:t>
      </w:r>
      <w:r w:rsidR="00024F61" w:rsidRPr="00197A42">
        <w:rPr>
          <w:rFonts w:hint="cs"/>
          <w:sz w:val="28"/>
          <w:szCs w:val="28"/>
          <w:rtl/>
        </w:rPr>
        <w:t>ﻮ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ذج</w:t>
      </w:r>
      <w:proofErr w:type="spellEnd"/>
      <w:r w:rsidR="00024F61" w:rsidRPr="00197A42">
        <w:rPr>
          <w:rFonts w:ascii="Simplified Arabic" w:hAnsi="Simplified Arabic" w:cs="Simplified Arabic"/>
          <w:spacing w:val="59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ﻣ</w:t>
      </w:r>
      <w:r w:rsidR="00024F61" w:rsidRPr="00197A42">
        <w:rPr>
          <w:rFonts w:hint="cs"/>
          <w:sz w:val="28"/>
          <w:szCs w:val="28"/>
          <w:rtl/>
        </w:rPr>
        <w:t>ﻦ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اﻟﺒﺤ</w:t>
      </w:r>
      <w:r w:rsidR="00024F61" w:rsidRPr="00197A42">
        <w:rPr>
          <w:rFonts w:hint="cs"/>
          <w:sz w:val="28"/>
          <w:szCs w:val="28"/>
          <w:rtl/>
        </w:rPr>
        <w:t>ﺚ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ﺗﺘﺎﺑﻌﻲ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ﻳﺘﻤﺤ</w:t>
      </w:r>
      <w:r w:rsidR="00024F61" w:rsidRPr="00197A42">
        <w:rPr>
          <w:rFonts w:hint="cs"/>
          <w:sz w:val="28"/>
          <w:szCs w:val="28"/>
          <w:rtl/>
        </w:rPr>
        <w:t>ﻮ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ر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ﺣ</w:t>
      </w:r>
      <w:r w:rsidR="00024F61" w:rsidRPr="00197A42">
        <w:rPr>
          <w:rFonts w:hint="cs"/>
          <w:sz w:val="28"/>
          <w:szCs w:val="28"/>
          <w:rtl/>
        </w:rPr>
        <w:t>ﻮ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ل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دراﺳﺔ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اﻟﻤﻌﺎﻧﻲ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</w:t>
      </w:r>
      <w:r w:rsidR="00024F61" w:rsidRPr="00197A42">
        <w:rPr>
          <w:rFonts w:hint="cs"/>
          <w:sz w:val="28"/>
          <w:szCs w:val="28"/>
          <w:rtl/>
        </w:rPr>
        <w:t>ﺪ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ﻻﻻت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)، أو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ﻣﺎ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ﺗ</w:t>
      </w:r>
      <w:r w:rsidR="00024F61" w:rsidRPr="00197A42">
        <w:rPr>
          <w:rFonts w:hint="cs"/>
          <w:sz w:val="28"/>
          <w:szCs w:val="28"/>
          <w:rtl/>
        </w:rPr>
        <w:t>ﺪ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ل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ﻋﻠﻴﻪ</w:t>
      </w:r>
      <w:proofErr w:type="spellEnd"/>
      <w:r w:rsidR="00024F61" w:rsidRPr="00197A42">
        <w:rPr>
          <w:rFonts w:ascii="Simplified Arabic" w:hAnsi="Simplified Arabic" w:cs="Simplified Arabic"/>
          <w:spacing w:val="41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اﻟﻜﻠﻤﺎت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ﺣﻴ</w:t>
      </w:r>
      <w:r w:rsidR="00024F61" w:rsidRPr="00197A42">
        <w:rPr>
          <w:rFonts w:hint="cs"/>
          <w:sz w:val="28"/>
          <w:szCs w:val="28"/>
          <w:rtl/>
        </w:rPr>
        <w:t>ﺚ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 أن</w:t>
      </w:r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>اﻷﻓ</w:t>
      </w:r>
      <w:r w:rsidR="00024F61" w:rsidRPr="00197A42">
        <w:rPr>
          <w:rFonts w:hint="cs"/>
          <w:spacing w:val="-3"/>
          <w:sz w:val="28"/>
          <w:szCs w:val="28"/>
          <w:rtl/>
        </w:rPr>
        <w:t>ﺮ</w:t>
      </w:r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>اد</w:t>
      </w:r>
      <w:proofErr w:type="spellEnd"/>
      <w:r w:rsidR="00024F61" w:rsidRPr="00197A42">
        <w:rPr>
          <w:rFonts w:ascii="Simplified Arabic" w:hAnsi="Simplified Arabic" w:cs="Simplified Arabic"/>
          <w:spacing w:val="61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ﻳﻌ</w:t>
      </w:r>
      <w:r w:rsidR="00024F61" w:rsidRPr="00197A42">
        <w:rPr>
          <w:rFonts w:hint="cs"/>
          <w:sz w:val="28"/>
          <w:szCs w:val="28"/>
          <w:rtl/>
        </w:rPr>
        <w:t>ﻄﻮ</w:t>
      </w:r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ن</w:t>
      </w:r>
      <w:proofErr w:type="spellEnd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z w:val="28"/>
          <w:szCs w:val="28"/>
          <w:rtl/>
        </w:rPr>
        <w:t>ﻣﻌﻨﻰ</w:t>
      </w:r>
      <w:proofErr w:type="spellEnd"/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>لالاى</w:t>
      </w:r>
      <w:proofErr w:type="spellEnd"/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 xml:space="preserve"> </w:t>
      </w:r>
      <w:proofErr w:type="spellStart"/>
      <w:r w:rsidR="00024F61" w:rsidRPr="00197A42">
        <w:rPr>
          <w:rFonts w:ascii="Simplified Arabic" w:hAnsi="Simplified Arabic" w:cs="Simplified Arabic"/>
          <w:spacing w:val="-3"/>
          <w:sz w:val="28"/>
          <w:szCs w:val="28"/>
          <w:rtl/>
        </w:rPr>
        <w:t>ةوو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ﺗﺴّﻠ</w:t>
      </w:r>
      <w:r w:rsidRPr="00197A42">
        <w:rPr>
          <w:rFonts w:hint="cs"/>
          <w:sz w:val="28"/>
          <w:szCs w:val="28"/>
          <w:rtl/>
        </w:rPr>
        <w:t>ﻢ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أن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ﺻﻤﻴ</w:t>
      </w:r>
      <w:r w:rsidRPr="00197A42">
        <w:rPr>
          <w:rFonts w:hint="cs"/>
          <w:sz w:val="28"/>
          <w:szCs w:val="28"/>
          <w:rtl/>
        </w:rPr>
        <w:t>ﻢ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اﻟﺘﺄوﻳﻼت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ﻳﻘﻊ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اﻷﻓﻌﺎل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اﻹﺟﺘﻤﺎﻋﻴﺔ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ﻟﻬ</w:t>
      </w:r>
      <w:r w:rsidRPr="00197A42">
        <w:rPr>
          <w:rFonts w:hint="cs"/>
          <w:sz w:val="28"/>
          <w:szCs w:val="28"/>
          <w:rtl/>
        </w:rPr>
        <w:t>ﺬ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>،</w:t>
      </w:r>
      <w:r w:rsidRPr="00197A42">
        <w:rPr>
          <w:rFonts w:ascii="Simplified Arabic" w:hAnsi="Simplified Arabic" w:cs="Simplified Arabic"/>
          <w:spacing w:val="41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ﻓﺈن</w:t>
      </w:r>
      <w:proofErr w:type="spellEnd"/>
      <w:r w:rsidRPr="00197A42">
        <w:rPr>
          <w:rFonts w:ascii="Simplified Arabic" w:hAnsi="Simplified Arabic" w:cs="Simplified Arabic"/>
          <w:spacing w:val="4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ﻣﻬﺎرة</w:t>
      </w:r>
      <w:proofErr w:type="spellEnd"/>
      <w:r w:rsidRPr="00197A42">
        <w:rPr>
          <w:rFonts w:ascii="Simplified Arabic" w:hAnsi="Simplified Arabic" w:cs="Simplified Arabic"/>
          <w:spacing w:val="41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اﻹﺗﺼﺎل</w:t>
      </w:r>
      <w:proofErr w:type="spellEnd"/>
      <w:r w:rsidRPr="00197A42">
        <w:rPr>
          <w:rFonts w:ascii="Simplified Arabic" w:hAnsi="Simplified Arabic" w:cs="Simplified Arabic"/>
          <w:spacing w:val="4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ﺑﻴ</w:t>
      </w:r>
      <w:r w:rsidRPr="00197A42">
        <w:rPr>
          <w:rFonts w:hint="cs"/>
          <w:sz w:val="28"/>
          <w:szCs w:val="28"/>
          <w:rtl/>
        </w:rPr>
        <w:t>ﻦ</w:t>
      </w:r>
      <w:proofErr w:type="spellEnd"/>
      <w:r w:rsidRPr="00197A42">
        <w:rPr>
          <w:rFonts w:ascii="Simplified Arabic" w:hAnsi="Simplified Arabic" w:cs="Simplified Arabic"/>
          <w:spacing w:val="42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اﻷﻓ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اد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>،</w:t>
      </w:r>
      <w:r w:rsidRPr="00197A42">
        <w:rPr>
          <w:rFonts w:ascii="Simplified Arabic" w:hAnsi="Simplified Arabic" w:cs="Simplified Arabic"/>
          <w:spacing w:val="42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آﻔﺎﻋﻠﻴ</w:t>
      </w:r>
      <w:r w:rsidRPr="00197A42">
        <w:rPr>
          <w:rFonts w:hint="cs"/>
          <w:sz w:val="28"/>
          <w:szCs w:val="28"/>
          <w:rtl/>
        </w:rPr>
        <w:t>ﻦ</w:t>
      </w:r>
      <w:proofErr w:type="spellEnd"/>
      <w:r w:rsidRPr="00197A42">
        <w:rPr>
          <w:rFonts w:ascii="Simplified Arabic" w:hAnsi="Simplified Arabic" w:cs="Simplified Arabic"/>
          <w:spacing w:val="4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ﻋﻀ</w:t>
      </w:r>
      <w:r w:rsidRPr="00197A42">
        <w:rPr>
          <w:rFonts w:hint="cs"/>
          <w:sz w:val="28"/>
          <w:szCs w:val="28"/>
          <w:rtl/>
        </w:rPr>
        <w:t>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ﻳﻴ</w:t>
      </w:r>
      <w:r w:rsidRPr="00197A42">
        <w:rPr>
          <w:rFonts w:hint="cs"/>
          <w:sz w:val="28"/>
          <w:szCs w:val="28"/>
          <w:rtl/>
        </w:rPr>
        <w:t>ﻦ</w:t>
      </w:r>
      <w:proofErr w:type="spellEnd"/>
      <w:r w:rsidRPr="00197A42">
        <w:rPr>
          <w:rFonts w:ascii="Simplified Arabic" w:hAnsi="Simplified Arabic" w:cs="Simplified Arabic"/>
          <w:spacing w:val="41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ﻳﻤﻜ</w:t>
      </w:r>
      <w:r w:rsidRPr="00197A42">
        <w:rPr>
          <w:rFonts w:hint="cs"/>
          <w:sz w:val="28"/>
          <w:szCs w:val="28"/>
          <w:rtl/>
        </w:rPr>
        <w:t>ﻦ</w:t>
      </w:r>
      <w:proofErr w:type="spellEnd"/>
      <w:r w:rsidRPr="00197A42">
        <w:rPr>
          <w:rFonts w:ascii="Simplified Arabic" w:hAnsi="Simplified Arabic" w:cs="Simplified Arabic"/>
          <w:spacing w:val="41"/>
          <w:sz w:val="28"/>
          <w:szCs w:val="28"/>
          <w:rtl/>
        </w:rPr>
        <w:t xml:space="preserve"> 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أن</w:t>
      </w:r>
      <w:r w:rsidRPr="00197A42">
        <w:rPr>
          <w:rFonts w:ascii="Simplified Arabic" w:hAnsi="Simplified Arabic" w:cs="Simplified Arabic"/>
          <w:spacing w:val="41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ﺗﺨﻠ</w:t>
      </w:r>
      <w:r w:rsidRPr="00197A42">
        <w:rPr>
          <w:rFonts w:hint="cs"/>
          <w:sz w:val="28"/>
          <w:szCs w:val="28"/>
          <w:rtl/>
        </w:rPr>
        <w:t>ﻖ</w:t>
      </w:r>
      <w:proofErr w:type="spellEnd"/>
      <w:r w:rsidRPr="00197A42">
        <w:rPr>
          <w:rFonts w:ascii="Simplified Arabic" w:hAnsi="Simplified Arabic" w:cs="Simplified Arabic"/>
          <w:spacing w:val="39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وﺗﺒﻨﻲ</w:t>
      </w:r>
      <w:proofErr w:type="spellEnd"/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>اﻟ</w:t>
      </w:r>
      <w:r w:rsidRPr="00197A42">
        <w:rPr>
          <w:rFonts w:hint="cs"/>
          <w:w w:val="105"/>
          <w:sz w:val="28"/>
          <w:szCs w:val="28"/>
          <w:rtl/>
        </w:rPr>
        <w:t>ﻮ</w:t>
      </w:r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>اﻗﻊ</w:t>
      </w:r>
      <w:proofErr w:type="spellEnd"/>
      <w:r w:rsidRPr="00197A42">
        <w:rPr>
          <w:rFonts w:ascii="Simplified Arabic" w:hAnsi="Simplified Arabic" w:cs="Simplified Arabic"/>
          <w:spacing w:val="-18"/>
          <w:w w:val="105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>اﻹﺟﺘﻤﺎﻋﻲ</w:t>
      </w:r>
      <w:proofErr w:type="spellEnd"/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 xml:space="preserve"> عبر كلماتهم و رموزهم و </w:t>
      </w:r>
      <w:proofErr w:type="spellStart"/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>سلوكاتهم</w:t>
      </w:r>
      <w:proofErr w:type="spellEnd"/>
      <w:r w:rsidRPr="00197A42">
        <w:rPr>
          <w:rFonts w:ascii="Simplified Arabic" w:hAnsi="Simplified Arabic" w:cs="Simplified Arabic"/>
          <w:w w:val="105"/>
          <w:sz w:val="28"/>
          <w:szCs w:val="28"/>
          <w:rtl/>
        </w:rPr>
        <w:t>.</w:t>
      </w:r>
    </w:p>
    <w:p w:rsidR="00197A42" w:rsidRPr="00197A42" w:rsidRDefault="00501BB9" w:rsidP="00197A42">
      <w:pPr>
        <w:widowControl/>
        <w:bidi/>
        <w:adjustRightInd w:val="0"/>
        <w:spacing w:line="276" w:lineRule="auto"/>
        <w:jc w:val="both"/>
        <w:rPr>
          <w:rFonts w:ascii="Simplified Arabic" w:eastAsia="TimesNewRomanPSMT" w:hAnsi="Simplified Arabic" w:cs="Simplified Arabic"/>
          <w:sz w:val="28"/>
          <w:szCs w:val="28"/>
          <w:rtl/>
          <w:lang w:val="fr-FR" w:eastAsia="en-US"/>
        </w:rPr>
      </w:pP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ﺑﺎﻟﻨﺴﺒﺔ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ﻟﻬ</w:t>
      </w:r>
      <w:r w:rsidRPr="00197A42">
        <w:rPr>
          <w:rFonts w:hint="cs"/>
          <w:sz w:val="28"/>
          <w:szCs w:val="28"/>
          <w:rtl/>
        </w:rPr>
        <w:t>ﺬ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ﻩ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اﻟﻤﻘﺎرﺑﺔ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اﻷﻣ</w:t>
      </w:r>
      <w:r w:rsidRPr="00197A42">
        <w:rPr>
          <w:rFonts w:hint="cs"/>
          <w:sz w:val="28"/>
          <w:szCs w:val="28"/>
          <w:rtl/>
        </w:rPr>
        <w:t>ﺮ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اﻟﻤﻬ</w:t>
      </w:r>
      <w:r w:rsidRPr="00197A42">
        <w:rPr>
          <w:rFonts w:hint="cs"/>
          <w:sz w:val="28"/>
          <w:szCs w:val="28"/>
          <w:rtl/>
        </w:rPr>
        <w:t>ﻢ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هو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ﺧﻠ</w:t>
      </w:r>
      <w:r w:rsidRPr="00197A42">
        <w:rPr>
          <w:rFonts w:hint="cs"/>
          <w:sz w:val="28"/>
          <w:szCs w:val="28"/>
          <w:rtl/>
        </w:rPr>
        <w:t>ﻖ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اﻟﻤﻌﺎﻧﻲ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اﻟﻤﺸﺘ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كة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، هذه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ؤﻳﺔ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ﻣ</w:t>
      </w:r>
      <w:r w:rsidRPr="00197A42">
        <w:rPr>
          <w:rFonts w:hint="cs"/>
          <w:sz w:val="28"/>
          <w:szCs w:val="28"/>
          <w:rtl/>
        </w:rPr>
        <w:t>ﺰ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ﻳﺔ</w:t>
      </w:r>
      <w:proofErr w:type="spellEnd"/>
      <w:r w:rsidRPr="00197A42">
        <w:rPr>
          <w:rFonts w:ascii="Simplified Arabic" w:hAnsi="Simplified Arabic" w:cs="Simplified Arabic"/>
          <w:spacing w:val="9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ﺗﺠ</w:t>
      </w:r>
      <w:r w:rsidRPr="00197A42">
        <w:rPr>
          <w:rFonts w:hint="cs"/>
          <w:sz w:val="28"/>
          <w:szCs w:val="28"/>
          <w:rtl/>
        </w:rPr>
        <w:t>ﺪ</w:t>
      </w:r>
      <w:proofErr w:type="spellEnd"/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ﻣﻌﻨﺎها</w:t>
      </w:r>
      <w:proofErr w:type="spellEnd"/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اﻹﺗﺼﺎﻟﻲ</w:t>
      </w:r>
      <w:proofErr w:type="spellEnd"/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ﻋﺒ</w:t>
      </w:r>
      <w:r w:rsidRPr="00197A42">
        <w:rPr>
          <w:rFonts w:hint="cs"/>
          <w:sz w:val="28"/>
          <w:szCs w:val="28"/>
          <w:rtl/>
        </w:rPr>
        <w:t>ﺮ</w:t>
      </w:r>
      <w:proofErr w:type="spellEnd"/>
      <w:r w:rsidRPr="00197A42">
        <w:rPr>
          <w:rFonts w:ascii="Simplified Arabic" w:hAnsi="Simplified Arabic" w:cs="Simplified Arabic"/>
          <w:spacing w:val="11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اﻟﺘﺠ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ﺑﺔ</w:t>
      </w:r>
      <w:proofErr w:type="spellEnd"/>
      <w:r w:rsidRPr="00197A42">
        <w:rPr>
          <w:rFonts w:ascii="Simplified Arabic" w:hAnsi="Simplified Arabic" w:cs="Simplified Arabic"/>
          <w:spacing w:val="12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اﻟﻤﺘﺒﺎدﻟﺔ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>،</w:t>
      </w:r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197A42">
        <w:rPr>
          <w:rFonts w:ascii="Simplified Arabic" w:hAnsi="Simplified Arabic" w:cs="Simplified Arabic"/>
          <w:spacing w:val="11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ﻣﻨﻬﺎ</w:t>
      </w:r>
      <w:proofErr w:type="spellEnd"/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197A42">
        <w:rPr>
          <w:rFonts w:ascii="Simplified Arabic" w:hAnsi="Simplified Arabic" w:cs="Simplified Arabic"/>
          <w:spacing w:val="9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ﻧﻴّﺔ</w:t>
      </w:r>
      <w:proofErr w:type="spellEnd"/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اﻟﻤُ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ﺳﻞ</w:t>
      </w:r>
      <w:proofErr w:type="spellEnd"/>
      <w:r w:rsidRPr="00197A42">
        <w:rPr>
          <w:rFonts w:ascii="Simplified Arabic" w:hAnsi="Simplified Arabic" w:cs="Simplified Arabic"/>
          <w:spacing w:val="10"/>
          <w:sz w:val="28"/>
          <w:szCs w:val="28"/>
          <w:rtl/>
        </w:rPr>
        <w:t xml:space="preserve"> 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أو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ﻣ</w:t>
      </w:r>
      <w:r w:rsidRPr="00197A42">
        <w:rPr>
          <w:rFonts w:hint="cs"/>
          <w:sz w:val="28"/>
          <w:szCs w:val="28"/>
          <w:rtl/>
        </w:rPr>
        <w:t>ﺮ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>اﻗﺒﺔ</w:t>
      </w:r>
      <w:proofErr w:type="spellEnd"/>
      <w:r w:rsidRPr="00197A42">
        <w:rPr>
          <w:rFonts w:ascii="Simplified Arabic" w:hAnsi="Simplified Arabic" w:cs="Simplified Arabic"/>
          <w:spacing w:val="4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اﻟﻤﺴﺘﻘﺒﻞ</w:t>
      </w:r>
      <w:proofErr w:type="spellEnd"/>
      <w:r w:rsidR="00197A42" w:rsidRPr="00197A42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197A42" w:rsidRPr="00197A42">
        <w:rPr>
          <w:rFonts w:ascii="Simplified Arabic" w:eastAsia="TimesNewRomanPSMT" w:hAnsi="Simplified Arabic" w:cs="Simplified Arabic"/>
          <w:sz w:val="28"/>
          <w:szCs w:val="28"/>
          <w:rtl/>
          <w:lang w:val="fr-FR" w:eastAsia="en-US"/>
        </w:rPr>
        <w:t xml:space="preserve"> التي تفصح عن عملية بناء وتمثل الحقيقة. تمتد طبيعة الأبحاث من الاتصال بين الأشخاص إلى الأثر الحاسم للتكنولوجيا الجديدة التي تغيّر بنى العمل، وتركيب البنى الاتصالية.</w:t>
      </w: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ﻓﺈن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اﻟﻤﻘﺎرﺑﺔ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اﻟﺘﺄوﻳﻠﻴﺔ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ﺑﻘ</w:t>
      </w:r>
      <w:r w:rsidRPr="00197A42">
        <w:rPr>
          <w:rFonts w:hint="cs"/>
          <w:sz w:val="28"/>
          <w:szCs w:val="28"/>
          <w:rtl/>
        </w:rPr>
        <w:t>ﺪ</w:t>
      </w:r>
      <w:r w:rsidRPr="00197A42">
        <w:rPr>
          <w:rFonts w:ascii="Simplified Arabic" w:hAnsi="Simplified Arabic" w:cs="Simplified Arabic" w:hint="cs"/>
          <w:sz w:val="28"/>
          <w:szCs w:val="28"/>
          <w:rtl/>
        </w:rPr>
        <w:t>ر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ﻣﺎ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ﺗﺒﺤ</w:t>
      </w:r>
      <w:r w:rsidRPr="00197A42">
        <w:rPr>
          <w:rFonts w:hint="cs"/>
          <w:sz w:val="28"/>
          <w:szCs w:val="28"/>
          <w:rtl/>
        </w:rPr>
        <w:t>ﺚ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ﻋ</w:t>
      </w:r>
      <w:r w:rsidRPr="00197A42">
        <w:rPr>
          <w:rFonts w:hint="cs"/>
          <w:sz w:val="28"/>
          <w:szCs w:val="28"/>
          <w:rtl/>
        </w:rPr>
        <w:t>ﻦ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اﻟﻌﺎم</w:t>
      </w:r>
      <w:proofErr w:type="spellEnd"/>
      <w:r w:rsidRPr="00197A4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ﻓﺈﻧﻬﺎ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ﺗﻨ</w:t>
      </w:r>
      <w:r w:rsidRPr="00197A42">
        <w:rPr>
          <w:rFonts w:hint="cs"/>
          <w:sz w:val="28"/>
          <w:szCs w:val="28"/>
          <w:rtl/>
        </w:rPr>
        <w:t>ﺰ</w:t>
      </w:r>
      <w:r w:rsidRPr="00197A42">
        <w:rPr>
          <w:rFonts w:ascii="Simplified Arabic" w:hAnsi="Simplified Arabic" w:cs="Simplified Arabic" w:hint="cs"/>
          <w:sz w:val="28"/>
          <w:szCs w:val="28"/>
          <w:rtl/>
        </w:rPr>
        <w:t>ع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إﻟﻰ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ﺗﻔﺴﻴ</w:t>
      </w:r>
      <w:r w:rsidRPr="00197A42">
        <w:rPr>
          <w:rFonts w:hint="cs"/>
          <w:sz w:val="28"/>
          <w:szCs w:val="28"/>
          <w:rtl/>
        </w:rPr>
        <w:t>ﺮ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وﻧﻘ</w:t>
      </w:r>
      <w:r w:rsidRPr="00197A42">
        <w:rPr>
          <w:rFonts w:hint="cs"/>
          <w:sz w:val="28"/>
          <w:szCs w:val="28"/>
          <w:rtl/>
        </w:rPr>
        <w:t>ﺪ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اﻹﺟﻤﺎع</w:t>
      </w:r>
      <w:proofErr w:type="spellEnd"/>
      <w:r w:rsidRPr="00197A42">
        <w:rPr>
          <w:rFonts w:ascii="Simplified Arabic" w:hAnsi="Simplified Arabic" w:cs="Simplified Arabic"/>
          <w:spacing w:val="63"/>
          <w:sz w:val="28"/>
          <w:szCs w:val="28"/>
          <w:rtl/>
        </w:rPr>
        <w:t xml:space="preserve"> 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اﻟﺘﺄوﻳﻞ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/>
          <w:sz w:val="28"/>
          <w:szCs w:val="28"/>
          <w:rtl/>
        </w:rPr>
        <w:t>اﻟﻤﺘ</w:t>
      </w:r>
      <w:r w:rsidRPr="00197A42">
        <w:rPr>
          <w:rFonts w:hint="cs"/>
          <w:sz w:val="28"/>
          <w:szCs w:val="28"/>
          <w:rtl/>
        </w:rPr>
        <w:t>ﻮ</w:t>
      </w:r>
      <w:r w:rsidRPr="00197A42">
        <w:rPr>
          <w:rFonts w:ascii="Simplified Arabic" w:hAnsi="Simplified Arabic" w:cs="Simplified Arabic" w:hint="cs"/>
          <w:sz w:val="28"/>
          <w:szCs w:val="28"/>
          <w:rtl/>
        </w:rPr>
        <w:t>ﻟّ</w:t>
      </w:r>
      <w:r w:rsidRPr="00197A42">
        <w:rPr>
          <w:rFonts w:hint="cs"/>
          <w:sz w:val="28"/>
          <w:szCs w:val="28"/>
          <w:rtl/>
        </w:rPr>
        <w:t>ﺪ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ﻋ</w:t>
      </w:r>
      <w:r w:rsidRPr="00197A42">
        <w:rPr>
          <w:rFonts w:hint="cs"/>
          <w:sz w:val="28"/>
          <w:szCs w:val="28"/>
          <w:rtl/>
        </w:rPr>
        <w:t>ﻦ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اﻟﻤﻌﺎﻧﻲ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اﻟﺸﺨﺼﻴﺔ</w:t>
      </w:r>
      <w:proofErr w:type="spellEnd"/>
      <w:r w:rsidRPr="00197A4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ﻋﺒ</w:t>
      </w:r>
      <w:r w:rsidRPr="00197A42">
        <w:rPr>
          <w:rFonts w:hint="cs"/>
          <w:sz w:val="28"/>
          <w:szCs w:val="28"/>
          <w:rtl/>
        </w:rPr>
        <w:t>ﺮ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ﻣﻨﻬﺞ</w:t>
      </w:r>
      <w:proofErr w:type="spellEnd"/>
      <w:r w:rsidRPr="00197A4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97A42">
        <w:rPr>
          <w:rFonts w:ascii="Simplified Arabic" w:hAnsi="Simplified Arabic" w:cs="Simplified Arabic" w:hint="cs"/>
          <w:sz w:val="28"/>
          <w:szCs w:val="28"/>
          <w:rtl/>
        </w:rPr>
        <w:t>اﻟﻤﻼﺣ</w:t>
      </w:r>
      <w:r w:rsidRPr="00197A42">
        <w:rPr>
          <w:rFonts w:hint="cs"/>
          <w:sz w:val="28"/>
          <w:szCs w:val="28"/>
          <w:rtl/>
        </w:rPr>
        <w:t>ﻈ</w:t>
      </w:r>
      <w:r w:rsidRPr="00197A42">
        <w:rPr>
          <w:rFonts w:ascii="Simplified Arabic" w:hAnsi="Simplified Arabic" w:cs="Simplified Arabic" w:hint="cs"/>
          <w:sz w:val="28"/>
          <w:szCs w:val="28"/>
          <w:rtl/>
        </w:rPr>
        <w:t>ﺔ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بالمشاركة.</w:t>
      </w: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Pr="00197A42" w:rsidRDefault="00197A42" w:rsidP="00197A42">
      <w:pPr>
        <w:bidi/>
        <w:spacing w:before="119" w:line="264" w:lineRule="auto"/>
        <w:ind w:right="221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197A42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و في ما يلي جدول </w:t>
      </w:r>
      <w:proofErr w:type="gramStart"/>
      <w:r w:rsidRPr="00197A42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يوضح</w:t>
      </w:r>
      <w:proofErr w:type="gramEnd"/>
      <w:r w:rsidRPr="00197A42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جل الفروق الموجودة بين المقاربات الأربعة:</w:t>
      </w:r>
    </w:p>
    <w:p w:rsidR="00197A42" w:rsidRPr="00197A42" w:rsidRDefault="00197A42" w:rsidP="00197A42">
      <w:pPr>
        <w:bidi/>
        <w:spacing w:before="119" w:line="264" w:lineRule="auto"/>
        <w:ind w:right="221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Grilledutableau"/>
        <w:bidiVisual/>
        <w:tblW w:w="9355" w:type="dxa"/>
        <w:jc w:val="center"/>
        <w:tblLook w:val="04A0" w:firstRow="1" w:lastRow="0" w:firstColumn="1" w:lastColumn="0" w:noHBand="0" w:noVBand="1"/>
      </w:tblPr>
      <w:tblGrid>
        <w:gridCol w:w="2550"/>
        <w:gridCol w:w="2400"/>
        <w:gridCol w:w="2278"/>
        <w:gridCol w:w="2127"/>
      </w:tblGrid>
      <w:tr w:rsidR="00197A42" w:rsidRPr="00197A42" w:rsidTr="00142CD4">
        <w:trPr>
          <w:jc w:val="center"/>
        </w:trPr>
        <w:tc>
          <w:tcPr>
            <w:tcW w:w="255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right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fr-FR" w:eastAsia="en-US"/>
              </w:rPr>
            </w:pPr>
            <w:r w:rsidRPr="00197A42"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  <w:t>Le Paradigme Cybernétique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ind w:left="360"/>
              <w:jc w:val="center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en-US" w:eastAsia="en-US"/>
              </w:rPr>
            </w:pPr>
          </w:p>
          <w:p w:rsidR="00197A42" w:rsidRPr="00197A42" w:rsidRDefault="00197A42" w:rsidP="00197A42">
            <w:pPr>
              <w:widowControl/>
              <w:numPr>
                <w:ilvl w:val="0"/>
                <w:numId w:val="1"/>
              </w:numPr>
              <w:autoSpaceDE/>
              <w:autoSpaceDN/>
              <w:bidi/>
              <w:adjustRightInd w:val="0"/>
              <w:contextualSpacing/>
              <w:jc w:val="center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en-US" w:eastAsia="en-US"/>
              </w:rPr>
              <w:t>البراديغم</w:t>
            </w:r>
            <w:proofErr w:type="spellEnd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en-US" w:eastAsia="en-US"/>
              </w:rPr>
              <w:t>السبرنيطيقي</w:t>
            </w:r>
            <w:proofErr w:type="spellEnd"/>
          </w:p>
        </w:tc>
        <w:tc>
          <w:tcPr>
            <w:tcW w:w="240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fr-FR" w:eastAsia="en-US"/>
              </w:rPr>
            </w:pPr>
            <w:proofErr w:type="spellStart"/>
            <w:r w:rsidRPr="00197A42"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  <w:t>LeParadigme</w:t>
            </w:r>
            <w:proofErr w:type="spellEnd"/>
            <w:r w:rsidRPr="00197A42"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  <w:t xml:space="preserve"> béhavioriste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ind w:left="360"/>
              <w:jc w:val="both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fr-FR" w:eastAsia="en-US"/>
              </w:rPr>
            </w:pPr>
          </w:p>
          <w:p w:rsidR="00197A42" w:rsidRPr="00197A42" w:rsidRDefault="00197A42" w:rsidP="00197A42">
            <w:pPr>
              <w:widowControl/>
              <w:numPr>
                <w:ilvl w:val="0"/>
                <w:numId w:val="1"/>
              </w:numPr>
              <w:autoSpaceDE/>
              <w:autoSpaceDN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fr-FR" w:eastAsia="en-US"/>
              </w:rPr>
              <w:t>البراديغم</w:t>
            </w:r>
            <w:proofErr w:type="spellEnd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fr-FR" w:eastAsia="en-US"/>
              </w:rPr>
              <w:t xml:space="preserve"> السلوكي</w:t>
            </w:r>
          </w:p>
        </w:tc>
        <w:tc>
          <w:tcPr>
            <w:tcW w:w="2278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center"/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</w:pPr>
            <w:r w:rsidRPr="00197A42"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  <w:t xml:space="preserve">Le Paradigme </w:t>
            </w:r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97A42"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  <w:t>fonctionnaliste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ind w:left="720"/>
              <w:contextualSpacing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3. </w:t>
            </w:r>
            <w:proofErr w:type="spellStart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en-US" w:eastAsia="en-US" w:bidi="ar-DZ"/>
              </w:rPr>
              <w:t>البراديغم</w:t>
            </w:r>
            <w:proofErr w:type="spellEnd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الوظيفي</w:t>
            </w:r>
          </w:p>
        </w:tc>
        <w:tc>
          <w:tcPr>
            <w:tcW w:w="2127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</w:pPr>
            <w:r w:rsidRPr="00197A42">
              <w:rPr>
                <w:rFonts w:asciiTheme="minorHAnsi" w:eastAsia="TimesNewRomanPSMT" w:hAnsiTheme="minorHAnsi"/>
                <w:b/>
                <w:bCs/>
                <w:sz w:val="28"/>
                <w:szCs w:val="28"/>
                <w:lang w:val="fr-FR" w:eastAsia="en-US"/>
              </w:rPr>
              <w:t>Le Paradigme interprétatif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fr-FR" w:eastAsia="en-US"/>
              </w:rPr>
              <w:t xml:space="preserve">4. </w:t>
            </w:r>
            <w:proofErr w:type="spellStart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fr-FR" w:eastAsia="en-US"/>
              </w:rPr>
              <w:t>البراديغم</w:t>
            </w:r>
            <w:proofErr w:type="spellEnd"/>
            <w:r w:rsidRPr="00197A42">
              <w:rPr>
                <w:rFonts w:asciiTheme="minorHAnsi" w:eastAsia="TimesNewRomanPSMT" w:hAnsiTheme="minorHAnsi" w:hint="cs"/>
                <w:b/>
                <w:bCs/>
                <w:sz w:val="28"/>
                <w:szCs w:val="28"/>
                <w:rtl/>
                <w:lang w:val="fr-FR" w:eastAsia="en-US"/>
              </w:rPr>
              <w:t xml:space="preserve"> التأويلي</w:t>
            </w:r>
          </w:p>
        </w:tc>
      </w:tr>
      <w:tr w:rsidR="00197A42" w:rsidRPr="00197A42" w:rsidTr="00142CD4">
        <w:trPr>
          <w:jc w:val="center"/>
        </w:trPr>
        <w:tc>
          <w:tcPr>
            <w:tcW w:w="255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متحدّر من النموذج </w:t>
            </w:r>
            <w:proofErr w:type="spell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المنهاجي</w:t>
            </w:r>
            <w:proofErr w:type="spell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النسقي</w:t>
            </w:r>
          </w:p>
        </w:tc>
        <w:tc>
          <w:tcPr>
            <w:tcW w:w="240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متحدّر من علم النفس والوضعية</w:t>
            </w:r>
          </w:p>
        </w:tc>
        <w:tc>
          <w:tcPr>
            <w:tcW w:w="2278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متحدّر من الوضعية</w:t>
            </w:r>
          </w:p>
        </w:tc>
        <w:tc>
          <w:tcPr>
            <w:tcW w:w="2127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متحدّر من المثالية الألمانية</w:t>
            </w:r>
          </w:p>
        </w:tc>
      </w:tr>
      <w:tr w:rsidR="00197A42" w:rsidRPr="00197A42" w:rsidTr="00142CD4">
        <w:trPr>
          <w:jc w:val="center"/>
        </w:trPr>
        <w:tc>
          <w:tcPr>
            <w:tcW w:w="255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الخصائص :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الاتصال والمراقبة في الآليات والإنسان.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 w:bidi="ar-DZ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علوم </w:t>
            </w:r>
            <w:proofErr w:type="spell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الأنساق</w:t>
            </w:r>
            <w:proofErr w:type="spell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الموجهة والمراقبة تشير إلى تنظيم تلقائي في الاسترجاع (العمل ورد الفعل) مثل : مثبت الحرارة في المبنى (</w:t>
            </w:r>
            <w:r w:rsidRPr="00197A42">
              <w:rPr>
                <w:rFonts w:asciiTheme="minorHAnsi" w:eastAsia="TimesNewRomanPSMT" w:hAnsiTheme="minorHAnsi"/>
                <w:sz w:val="28"/>
                <w:szCs w:val="28"/>
                <w:lang w:val="en-US" w:eastAsia="en-US"/>
              </w:rPr>
              <w:t>(</w:t>
            </w:r>
            <w:r w:rsidRPr="00197A42">
              <w:rPr>
                <w:rFonts w:asciiTheme="minorHAnsi" w:eastAsia="TimesNewRomanPSMT" w:hAnsiTheme="minorHAnsi"/>
                <w:sz w:val="28"/>
                <w:szCs w:val="28"/>
                <w:lang w:val="fr-FR" w:eastAsia="en-US"/>
              </w:rPr>
              <w:t>Thermostat</w:t>
            </w: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fr-FR" w:eastAsia="en-US" w:bidi="ar-DZ"/>
              </w:rPr>
              <w:t xml:space="preserve"> والحراة في جسم الإنسان</w:t>
            </w:r>
          </w:p>
        </w:tc>
        <w:tc>
          <w:tcPr>
            <w:tcW w:w="240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الخصائص :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نموذج 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06A4C" wp14:editId="5AAA935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85725</wp:posOffset>
                      </wp:positionV>
                      <wp:extent cx="230505" cy="7620"/>
                      <wp:effectExtent l="38100" t="76200" r="0" b="10668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05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65.5pt;margin-top:6.75pt;width:18.15pt;height: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">
                      <v:stroke endarrow="open"/>
                    </v:shape>
                  </w:pict>
                </mc:Fallback>
              </mc:AlternateConten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الإثارة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      الاستجابة 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  <w:p w:rsidR="00197A42" w:rsidRPr="00197A42" w:rsidRDefault="00197A42" w:rsidP="00197A42">
            <w:pPr>
              <w:widowControl/>
              <w:bidi/>
              <w:adjustRightInd w:val="0"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لكل إثارة استجابة ملائمة، ذات خاصيات مرئية تفترض </w:t>
            </w:r>
            <w:proofErr w:type="spell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ردات</w:t>
            </w:r>
            <w:proofErr w:type="spell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فعل تلقائية.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278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الخصائص :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إدراك المجتمع كوحدة عضوية، حيث أن العناصر تفسر بالوظيفة التي تشغلها.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الحقيقة الاجتماعية موضوعية.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الاتصال عملية.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الرسالة هي الأهم في هذه العملية.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البحث عن العام (الكل).</w:t>
            </w:r>
          </w:p>
        </w:tc>
        <w:tc>
          <w:tcPr>
            <w:tcW w:w="2127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الخصائص : 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المعاني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تقع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في الأفعال الاجتماعية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تحليل المعاني الذاتية التي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تشكل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الإجماع حول تأويل الواقع.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الناس تعطي معنى لعالمها من خلال السلوك </w:t>
            </w:r>
            <w:proofErr w:type="spell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الاتصالي</w:t>
            </w:r>
            <w:proofErr w:type="spell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المجتمع بناء مركب من التجارب الشخصية لأفراده</w:t>
            </w:r>
          </w:p>
        </w:tc>
      </w:tr>
      <w:tr w:rsidR="00197A42" w:rsidRPr="00197A42" w:rsidTr="00142CD4">
        <w:trPr>
          <w:jc w:val="center"/>
        </w:trPr>
        <w:tc>
          <w:tcPr>
            <w:tcW w:w="255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center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نموذج الدراسة :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في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حقل الاتصال المنظم، دراسة شبكات الاتصال، معاينة ترابط عناصر السلسلة في الاتصال.</w:t>
            </w:r>
          </w:p>
        </w:tc>
        <w:tc>
          <w:tcPr>
            <w:tcW w:w="2400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center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نموذج الدراسة :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- تأثير وسائط الاتصال على الناس.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الدعاية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والإقناع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السلطة الخفية أو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القوة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الساحرة لوسائط الاتصال.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تقود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وتوجه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الأبحاث حول تأثير وسائط الاتصال الجماهيري.</w:t>
            </w:r>
          </w:p>
        </w:tc>
        <w:tc>
          <w:tcPr>
            <w:tcW w:w="2278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center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نموذج الدراسة :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الاستخدام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والإشباع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، استخدامات الجمهور لوسائط الاتصال والإشباع التي يترتب عليها.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في الاتصال المنظم دراسة توزيع الأدوار، التردّد (الشك)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والرسائل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27" w:type="dxa"/>
          </w:tcPr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center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نموذج الدراسة :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في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الاتصال المنظم، المقاربات الطبيعية والثقافية، تشكل دراسة التواريخ والأساطير والطقوس (الشعائر)، والنزاعات </w:t>
            </w:r>
            <w:proofErr w:type="spell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والأنساق</w:t>
            </w:r>
            <w:proofErr w:type="spell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الرمزية في التنظيم.</w:t>
            </w:r>
          </w:p>
          <w:p w:rsidR="00197A42" w:rsidRPr="00197A42" w:rsidRDefault="00197A42" w:rsidP="00197A42">
            <w:pPr>
              <w:widowControl/>
              <w:bidi/>
              <w:adjustRightInd w:val="0"/>
              <w:contextualSpacing/>
              <w:jc w:val="both"/>
              <w:rPr>
                <w:rFonts w:asciiTheme="minorHAnsi" w:eastAsia="TimesNewRomanPSMT" w:hAnsiTheme="minorHAnsi"/>
                <w:sz w:val="28"/>
                <w:szCs w:val="28"/>
                <w:rtl/>
                <w:lang w:val="en-US" w:eastAsia="en-US"/>
              </w:rPr>
            </w:pPr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- </w:t>
            </w:r>
            <w:proofErr w:type="gramStart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>دراسة</w:t>
            </w:r>
            <w:proofErr w:type="gramEnd"/>
            <w:r w:rsidRPr="00197A42">
              <w:rPr>
                <w:rFonts w:asciiTheme="minorHAnsi" w:eastAsia="TimesNewRomanPSMT" w:hAnsiTheme="minorHAnsi" w:hint="cs"/>
                <w:sz w:val="28"/>
                <w:szCs w:val="28"/>
                <w:rtl/>
                <w:lang w:val="en-US" w:eastAsia="en-US"/>
              </w:rPr>
              <w:t xml:space="preserve"> محتوى وجوهر الاتصال.</w:t>
            </w:r>
          </w:p>
        </w:tc>
      </w:tr>
    </w:tbl>
    <w:p w:rsidR="00197A42" w:rsidRPr="00197A42" w:rsidRDefault="00197A42" w:rsidP="00197A42">
      <w:pPr>
        <w:bidi/>
        <w:spacing w:before="119" w:line="264" w:lineRule="auto"/>
        <w:ind w:right="2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7A42" w:rsidRPr="00197A42" w:rsidRDefault="00197A42" w:rsidP="00197A42">
      <w:pPr>
        <w:pStyle w:val="Corpsdetexte"/>
        <w:bidi/>
        <w:spacing w:before="119"/>
        <w:ind w:left="0" w:right="221"/>
        <w:jc w:val="both"/>
        <w:rPr>
          <w:rFonts w:ascii="Simplified Arabic" w:hAnsi="Simplified Arabic" w:cs="Simplified Arabic"/>
          <w:w w:val="105"/>
          <w:sz w:val="22"/>
          <w:szCs w:val="22"/>
          <w:rtl/>
        </w:rPr>
      </w:pPr>
    </w:p>
    <w:p w:rsidR="006E20C9" w:rsidRPr="006E20C9" w:rsidRDefault="006E20C9" w:rsidP="006E20C9">
      <w:pPr>
        <w:widowControl/>
        <w:autoSpaceDE/>
        <w:autoSpaceDN/>
        <w:bidi/>
        <w:jc w:val="both"/>
        <w:rPr>
          <w:sz w:val="28"/>
          <w:szCs w:val="28"/>
          <w:rtl/>
        </w:rPr>
        <w:sectPr w:rsidR="006E20C9" w:rsidRPr="006E20C9">
          <w:headerReference w:type="default" r:id="rId9"/>
          <w:footerReference w:type="default" r:id="rId10"/>
          <w:pgSz w:w="11910" w:h="16840"/>
          <w:pgMar w:top="1600" w:right="1480" w:bottom="280" w:left="1480" w:header="720" w:footer="720" w:gutter="0"/>
          <w:cols w:space="720"/>
        </w:sectPr>
      </w:pPr>
    </w:p>
    <w:p w:rsidR="006E20C9" w:rsidRPr="006E20C9" w:rsidRDefault="006E20C9" w:rsidP="00197A42">
      <w:pPr>
        <w:bidi/>
        <w:spacing w:before="95"/>
        <w:jc w:val="both"/>
        <w:rPr>
          <w:sz w:val="28"/>
          <w:szCs w:val="28"/>
          <w:rtl/>
        </w:rPr>
        <w:sectPr w:rsidR="006E20C9" w:rsidRPr="006E20C9">
          <w:type w:val="continuous"/>
          <w:pgSz w:w="11910" w:h="16840"/>
          <w:pgMar w:top="1600" w:right="1480" w:bottom="280" w:left="1480" w:header="720" w:footer="720" w:gutter="0"/>
          <w:cols w:num="4" w:space="720" w:equalWidth="0">
            <w:col w:w="2536" w:space="40"/>
            <w:col w:w="651" w:space="39"/>
            <w:col w:w="2592" w:space="40"/>
            <w:col w:w="3052"/>
          </w:cols>
        </w:sectPr>
      </w:pPr>
    </w:p>
    <w:p w:rsidR="00661810" w:rsidRPr="00351295" w:rsidRDefault="00661810" w:rsidP="00197A42">
      <w:pPr>
        <w:rPr>
          <w:rtl/>
        </w:rPr>
      </w:pPr>
    </w:p>
    <w:sectPr w:rsidR="00661810" w:rsidRPr="0035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B0" w:rsidRDefault="009A34B0" w:rsidP="00197A42">
      <w:pPr>
        <w:rPr>
          <w:rtl/>
        </w:rPr>
      </w:pPr>
      <w:r>
        <w:separator/>
      </w:r>
    </w:p>
  </w:endnote>
  <w:endnote w:type="continuationSeparator" w:id="0">
    <w:p w:rsidR="009A34B0" w:rsidRDefault="009A34B0" w:rsidP="00197A42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42" w:rsidRDefault="00197A42" w:rsidP="00197A42">
    <w:pPr>
      <w:pStyle w:val="Pieddepage"/>
      <w:pBdr>
        <w:top w:val="thinThickSmallGap" w:sz="24" w:space="1" w:color="622423" w:themeColor="accent2" w:themeShade="7F"/>
      </w:pBdr>
      <w:bidi/>
      <w:rPr>
        <w:rFonts w:asciiTheme="majorHAnsi" w:eastAsiaTheme="majorEastAsia" w:hAnsiTheme="majorHAnsi" w:cs="Cambria"/>
        <w:rtl/>
      </w:rPr>
    </w:pPr>
    <w:proofErr w:type="spellStart"/>
    <w:r>
      <w:rPr>
        <w:rFonts w:asciiTheme="majorHAnsi" w:eastAsiaTheme="majorEastAsia" w:hAnsiTheme="majorHAnsi" w:cstheme="majorBidi" w:hint="cs"/>
        <w:rtl/>
      </w:rPr>
      <w:t>الدكتورة:قوطال</w:t>
    </w:r>
    <w:proofErr w:type="spellEnd"/>
    <w:r>
      <w:rPr>
        <w:rFonts w:asciiTheme="majorHAnsi" w:eastAsiaTheme="majorEastAsia" w:hAnsiTheme="majorHAnsi" w:cstheme="majorBidi" w:hint="cs"/>
        <w:rtl/>
      </w:rPr>
      <w:t xml:space="preserve"> كنزة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 w:hint="cs"/>
        <w:rtl/>
        <w:lang w:val="fr-FR"/>
      </w:rPr>
      <w:t>ص</w:t>
    </w:r>
    <w:r>
      <w:rPr>
        <w:rFonts w:asciiTheme="majorHAnsi" w:eastAsiaTheme="majorEastAsia" w:hAnsiTheme="majorHAnsi" w:cstheme="majorBidi"/>
        <w:lang w:val="fr-FR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rPr>
        <w:rtl/>
      </w:rP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255F3" w:rsidRPr="000255F3">
      <w:rPr>
        <w:rFonts w:asciiTheme="majorHAnsi" w:eastAsiaTheme="majorEastAsia" w:hAnsiTheme="majorHAnsi" w:cstheme="majorBidi"/>
        <w:noProof/>
        <w:rtl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197A42" w:rsidRDefault="00197A42">
    <w:pPr>
      <w:pStyle w:val="Pieddepage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B0" w:rsidRDefault="009A34B0" w:rsidP="00197A42">
      <w:pPr>
        <w:rPr>
          <w:rtl/>
        </w:rPr>
      </w:pPr>
      <w:r>
        <w:separator/>
      </w:r>
    </w:p>
  </w:footnote>
  <w:footnote w:type="continuationSeparator" w:id="0">
    <w:p w:rsidR="009A34B0" w:rsidRDefault="009A34B0" w:rsidP="00197A42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eastAsiaTheme="majorEastAsia" w:hAnsi="Simplified Arabic" w:cs="Simplified Arabic"/>
        <w:b/>
        <w:bCs/>
        <w:rtl/>
      </w:rPr>
      <w:alias w:val="Titre"/>
      <w:id w:val="245847586"/>
      <w:placeholder>
        <w:docPart w:val="05FF51C937DD4AA591C77B49A1E108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7A42" w:rsidRDefault="00197A42" w:rsidP="00197A42">
        <w:pPr>
          <w:pStyle w:val="En-tte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="Cambria"/>
            <w:sz w:val="32"/>
            <w:szCs w:val="32"/>
            <w:rtl/>
          </w:rPr>
        </w:pPr>
        <w:r w:rsidRPr="00197A42">
          <w:rPr>
            <w:rFonts w:ascii="Simplified Arabic" w:eastAsiaTheme="majorEastAsia" w:hAnsi="Simplified Arabic" w:cs="Simplified Arabic"/>
            <w:b/>
            <w:bCs/>
            <w:rtl/>
          </w:rPr>
          <w:t xml:space="preserve">محاضرات مقياس مدخل لمقاربات الوسائط الجديدة      </w:t>
        </w:r>
        <w:r w:rsidRPr="00197A42">
          <w:rPr>
            <w:rFonts w:ascii="Simplified Arabic" w:eastAsiaTheme="majorEastAsia" w:hAnsi="Simplified Arabic" w:cs="Simplified Arabic" w:hint="cs"/>
            <w:b/>
            <w:bCs/>
            <w:rtl/>
          </w:rPr>
          <w:t xml:space="preserve">          </w:t>
        </w:r>
        <w:r w:rsidRPr="00197A42">
          <w:rPr>
            <w:rFonts w:ascii="Simplified Arabic" w:eastAsiaTheme="majorEastAsia" w:hAnsi="Simplified Arabic" w:cs="Simplified Arabic"/>
            <w:b/>
            <w:bCs/>
            <w:rtl/>
          </w:rPr>
          <w:t xml:space="preserve">  الس</w:t>
        </w:r>
        <w:r w:rsidRPr="00197A42">
          <w:rPr>
            <w:rFonts w:ascii="Simplified Arabic" w:eastAsiaTheme="majorEastAsia" w:hAnsi="Simplified Arabic" w:cs="Simplified Arabic" w:hint="cs"/>
            <w:b/>
            <w:bCs/>
            <w:rtl/>
          </w:rPr>
          <w:t>ن</w:t>
        </w:r>
        <w:r w:rsidRPr="00197A42">
          <w:rPr>
            <w:rFonts w:ascii="Simplified Arabic" w:eastAsiaTheme="majorEastAsia" w:hAnsi="Simplified Arabic" w:cs="Simplified Arabic"/>
            <w:b/>
            <w:bCs/>
            <w:rtl/>
          </w:rPr>
          <w:t>ة الأولى ماستر اتصال جماهيري ووسائط جديدة</w:t>
        </w:r>
      </w:p>
    </w:sdtContent>
  </w:sdt>
  <w:p w:rsidR="00197A42" w:rsidRDefault="00197A42">
    <w:pPr>
      <w:pStyle w:val="En-tte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3F57"/>
    <w:multiLevelType w:val="hybridMultilevel"/>
    <w:tmpl w:val="30742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10"/>
    <w:rsid w:val="00024F61"/>
    <w:rsid w:val="000255F3"/>
    <w:rsid w:val="00197A42"/>
    <w:rsid w:val="00351295"/>
    <w:rsid w:val="003C0379"/>
    <w:rsid w:val="00405D71"/>
    <w:rsid w:val="00501BB9"/>
    <w:rsid w:val="00660484"/>
    <w:rsid w:val="00661810"/>
    <w:rsid w:val="006B510E"/>
    <w:rsid w:val="006E20C9"/>
    <w:rsid w:val="008632B4"/>
    <w:rsid w:val="009A34B0"/>
    <w:rsid w:val="00E97BEC"/>
    <w:rsid w:val="00F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6E20C9"/>
    <w:pPr>
      <w:spacing w:before="39"/>
      <w:ind w:left="221"/>
    </w:pPr>
    <w:rPr>
      <w:sz w:val="34"/>
      <w:szCs w:val="34"/>
    </w:rPr>
  </w:style>
  <w:style w:type="character" w:customStyle="1" w:styleId="CorpsdetexteCar">
    <w:name w:val="Corps de texte Car"/>
    <w:basedOn w:val="Policepardfaut"/>
    <w:link w:val="Corpsdetexte"/>
    <w:uiPriority w:val="1"/>
    <w:rsid w:val="006E20C9"/>
    <w:rPr>
      <w:rFonts w:ascii="Times New Roman" w:eastAsia="Times New Roman" w:hAnsi="Times New Roman" w:cs="Times New Roman"/>
      <w:sz w:val="34"/>
      <w:szCs w:val="34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6E2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19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7A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7A42"/>
    <w:rPr>
      <w:rFonts w:ascii="Times New Roman" w:eastAsia="Times New Roman" w:hAnsi="Times New Roman" w:cs="Times New Roman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197A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7A42"/>
    <w:rPr>
      <w:rFonts w:ascii="Times New Roman" w:eastAsia="Times New Roman" w:hAnsi="Times New Roman" w:cs="Times New Roman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A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A42"/>
    <w:rPr>
      <w:rFonts w:ascii="Tahoma" w:eastAsia="Times New Roman" w:hAnsi="Tahoma" w:cs="Tahoma"/>
      <w:sz w:val="16"/>
      <w:szCs w:val="16"/>
      <w:lang w:val="ar-S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6E20C9"/>
    <w:pPr>
      <w:spacing w:before="39"/>
      <w:ind w:left="221"/>
    </w:pPr>
    <w:rPr>
      <w:sz w:val="34"/>
      <w:szCs w:val="34"/>
    </w:rPr>
  </w:style>
  <w:style w:type="character" w:customStyle="1" w:styleId="CorpsdetexteCar">
    <w:name w:val="Corps de texte Car"/>
    <w:basedOn w:val="Policepardfaut"/>
    <w:link w:val="Corpsdetexte"/>
    <w:uiPriority w:val="1"/>
    <w:rsid w:val="006E20C9"/>
    <w:rPr>
      <w:rFonts w:ascii="Times New Roman" w:eastAsia="Times New Roman" w:hAnsi="Times New Roman" w:cs="Times New Roman"/>
      <w:sz w:val="34"/>
      <w:szCs w:val="34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6E2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19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7A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7A42"/>
    <w:rPr>
      <w:rFonts w:ascii="Times New Roman" w:eastAsia="Times New Roman" w:hAnsi="Times New Roman" w:cs="Times New Roman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197A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7A42"/>
    <w:rPr>
      <w:rFonts w:ascii="Times New Roman" w:eastAsia="Times New Roman" w:hAnsi="Times New Roman" w:cs="Times New Roman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A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A42"/>
    <w:rPr>
      <w:rFonts w:ascii="Tahoma" w:eastAsia="Times New Roman" w:hAnsi="Tahoma" w:cs="Tahoma"/>
      <w:sz w:val="16"/>
      <w:szCs w:val="16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FF51C937DD4AA591C77B49A1E10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B3B1F-B382-453B-801B-FCE78DDED2D2}"/>
      </w:docPartPr>
      <w:docPartBody>
        <w:p w:rsidR="0059764E" w:rsidRDefault="00BC5377" w:rsidP="00BC5377">
          <w:pPr>
            <w:pStyle w:val="05FF51C937DD4AA591C77B49A1E108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77"/>
    <w:rsid w:val="00340ECC"/>
    <w:rsid w:val="0059764E"/>
    <w:rsid w:val="00A4206A"/>
    <w:rsid w:val="00B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FF51C937DD4AA591C77B49A1E1083A">
    <w:name w:val="05FF51C937DD4AA591C77B49A1E1083A"/>
    <w:rsid w:val="00BC5377"/>
  </w:style>
  <w:style w:type="paragraph" w:customStyle="1" w:styleId="F322346CBBA54D9EB40640E574F289BD">
    <w:name w:val="F322346CBBA54D9EB40640E574F289BD"/>
    <w:rsid w:val="00BC53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FF51C937DD4AA591C77B49A1E1083A">
    <w:name w:val="05FF51C937DD4AA591C77B49A1E1083A"/>
    <w:rsid w:val="00BC5377"/>
  </w:style>
  <w:style w:type="paragraph" w:customStyle="1" w:styleId="F322346CBBA54D9EB40640E574F289BD">
    <w:name w:val="F322346CBBA54D9EB40640E574F289BD"/>
    <w:rsid w:val="00BC5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5BC0-56CD-4EB5-94B4-25F8F545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مقياس مدخل لمقاربات الوسائط الجديدة                  السنة الأولى ماستر اتصال جماهيري ووسائط جديدة</vt:lpstr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 مدخل لمقاربات الوسائط الجديدة                  السنة الأولى ماستر اتصال جماهيري ووسائط جديدة</dc:title>
  <dc:creator>mitchus</dc:creator>
  <cp:lastModifiedBy>mitchus</cp:lastModifiedBy>
  <cp:revision>6</cp:revision>
  <cp:lastPrinted>2020-04-13T15:33:00Z</cp:lastPrinted>
  <dcterms:created xsi:type="dcterms:W3CDTF">2020-04-08T15:43:00Z</dcterms:created>
  <dcterms:modified xsi:type="dcterms:W3CDTF">2020-04-13T15:34:00Z</dcterms:modified>
</cp:coreProperties>
</file>