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49" w:rsidRPr="00E41131" w:rsidRDefault="007F4149" w:rsidP="007F4149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4"/>
          <w:sz w:val="30"/>
          <w:szCs w:val="30"/>
          <w:rtl/>
          <w:lang w:bidi="ar-DZ"/>
        </w:rPr>
      </w:pPr>
    </w:p>
    <w:p w:rsidR="007F4149" w:rsidRPr="00E41131" w:rsidRDefault="007F4149" w:rsidP="007F4149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4"/>
          <w:sz w:val="30"/>
          <w:szCs w:val="30"/>
          <w:rtl/>
          <w:lang w:bidi="ar-DZ"/>
        </w:rPr>
      </w:pPr>
    </w:p>
    <w:p w:rsidR="007F4149" w:rsidRDefault="00E43B3B" w:rsidP="007F4149">
      <w:pPr>
        <w:bidi/>
        <w:spacing w:after="180" w:line="240" w:lineRule="auto"/>
        <w:jc w:val="center"/>
        <w:rPr>
          <w:rFonts w:ascii="Bahij Lotus" w:hAnsi="Bahij Lotus" w:cs="Bahij Lotus"/>
          <w:b/>
          <w:bCs/>
          <w:spacing w:val="-2"/>
          <w:sz w:val="36"/>
          <w:szCs w:val="36"/>
          <w:rtl/>
          <w:lang w:bidi="ar-DZ"/>
        </w:rPr>
      </w:pPr>
      <w:bookmarkStart w:id="0" w:name="_GoBack"/>
      <w:bookmarkEnd w:id="0"/>
      <w:r>
        <w:rPr>
          <w:rFonts w:ascii="Bahij Lotus" w:hAnsi="Bahij Lotus" w:cs="Bahij Lotus" w:hint="cs"/>
          <w:b/>
          <w:bCs/>
          <w:spacing w:val="-2"/>
          <w:sz w:val="36"/>
          <w:szCs w:val="36"/>
          <w:rtl/>
          <w:lang w:bidi="ar-DZ"/>
        </w:rPr>
        <w:t>استقلال</w:t>
      </w:r>
      <w:r w:rsidR="007F4149">
        <w:rPr>
          <w:rFonts w:ascii="Bahij Lotus" w:hAnsi="Bahij Lotus" w:cs="Bahij Lotus" w:hint="cs"/>
          <w:b/>
          <w:bCs/>
          <w:spacing w:val="-2"/>
          <w:sz w:val="36"/>
          <w:szCs w:val="36"/>
          <w:rtl/>
          <w:lang w:bidi="ar-DZ"/>
        </w:rPr>
        <w:t xml:space="preserve"> الجزائر عن الدولة العثمانية : واقع أم وهم؟</w:t>
      </w:r>
    </w:p>
    <w:p w:rsidR="007F4149" w:rsidRPr="007F4149" w:rsidRDefault="007F4149" w:rsidP="007F4149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2"/>
          <w:sz w:val="24"/>
          <w:szCs w:val="24"/>
          <w:rtl/>
          <w:lang w:bidi="ar-DZ"/>
        </w:rPr>
      </w:pPr>
      <w:r>
        <w:rPr>
          <w:rFonts w:ascii="Bahij Lotus" w:hAnsi="Bahij Lotus" w:cs="Bahij Lotus" w:hint="cs"/>
          <w:b/>
          <w:bCs/>
          <w:spacing w:val="-2"/>
          <w:sz w:val="24"/>
          <w:szCs w:val="24"/>
          <w:rtl/>
          <w:lang w:bidi="ar-DZ"/>
        </w:rPr>
        <w:t>أ. أمين محرز</w:t>
      </w:r>
    </w:p>
    <w:p w:rsidR="007F4149" w:rsidRPr="00110EB2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</w:pPr>
    </w:p>
    <w:p w:rsidR="007F4149" w:rsidRPr="00110EB2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</w:pPr>
    </w:p>
    <w:p w:rsidR="007F4149" w:rsidRPr="00110EB2" w:rsidRDefault="007F4149" w:rsidP="007F4149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</w:rPr>
      </w:pPr>
      <w:r w:rsidRPr="00E43B3B">
        <w:rPr>
          <w:rFonts w:ascii="Bahij Lotus" w:hAnsi="Bahij Lotus" w:cs="Bahij Lotus" w:hint="cs"/>
          <w:sz w:val="30"/>
          <w:szCs w:val="30"/>
          <w:rtl/>
        </w:rPr>
        <w:t>أفادت المدرسة الاستعمارية أنّ من بين الحُجج الّتي سوّلت لفرنسا غزو إيالة الجزائر و خوّلت لها الاحتفاظ بها، أنهّا كانت مستقلّة فعليًا عن الدولة العثمانية و لا نفوذ حقيقي للسلطان عليها.</w:t>
      </w:r>
      <w:r w:rsidRPr="00110EB2">
        <w:rPr>
          <w:rFonts w:ascii="Bahij Lotus" w:hAnsi="Bahij Lotus" w:cs="Bahij Lotus" w:hint="cs"/>
          <w:spacing w:val="-3"/>
          <w:sz w:val="30"/>
          <w:szCs w:val="30"/>
          <w:rtl/>
        </w:rPr>
        <w:t xml:space="preserve"> </w:t>
      </w:r>
    </w:p>
    <w:p w:rsidR="007F4149" w:rsidRPr="0004377C" w:rsidRDefault="007F4149" w:rsidP="007F4149">
      <w:pPr>
        <w:bidi/>
        <w:spacing w:after="0" w:line="240" w:lineRule="auto"/>
        <w:ind w:firstLine="425"/>
        <w:jc w:val="both"/>
        <w:rPr>
          <w:rFonts w:ascii="Bahij Lotus" w:hAnsi="Bahij Lotus" w:cs="Bahij Lotus"/>
          <w:spacing w:val="-2"/>
          <w:sz w:val="30"/>
          <w:szCs w:val="30"/>
          <w:rtl/>
          <w:lang w:bidi="ar-DZ"/>
        </w:rPr>
      </w:pP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أولاً : إنّ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الرأي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الشائع القائل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منح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الباشوية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لدايات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يعتبر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بحدّ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ذاته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استقلالاً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بتعبير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آخر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انفصالاً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الدولة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العثمانية،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لهو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رأيٌ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مجانب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للحقيقية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التاريخية،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إذ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الدولة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العثمانية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أصلاً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تتّبع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مركزية*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صارمة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تجاه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حكم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جزائر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الغرب،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حكمًا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ذاتيًا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اتّسمت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خلاله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تدخّلات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الديوان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الهمايوني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بالمرونة،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خصوصًا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عموم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البلاد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كما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معلوم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انضوت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تحت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السلطة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العثمانية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بإرادة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أهاليها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.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رغم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الروابط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ضعفت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نسبيًا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خلال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القرن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السابع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عشر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كانت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أبرز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مظاهر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هذا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التراخي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ربط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علاقات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دبلوماسية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مع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الدول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المسيحية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بمعزل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عن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الدولة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العثمانية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بسبب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تناقص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اهتمام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الدولة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بمجالها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الغربي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تنفّذ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الإنكشارية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سلطة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الولاة،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فإنّ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حاجة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الإيالة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وقتٍ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لآخر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للمجنّدين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الأتراك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العثمانيين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لأجل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ضمان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استمرارية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أوجاقها،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حالت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دون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حدوث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قطيعة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أبقت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أمارات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الولاء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الدعم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العسكري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قائمة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حين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سقوط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عام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1830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.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كما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أنّه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تجدر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الإشارة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حكّام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الإيالة</w:t>
      </w:r>
      <w:r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الّذين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يكونوا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يرسلون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إتاوة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هدايا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الباب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العالي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قبل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سنة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1711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إلاّ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مناسبات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نادرة،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جعلهم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سعيهم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نيل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الباشوية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يرسلون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هدايا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يتولّى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تسليمها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موظّف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رفيع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المستوى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دعي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آغا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اﻟﭙﺸﻜﺶ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قائد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الهدية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بشكلٍ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أكثر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تواترًا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كتعبير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رمزي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لتبعيتهم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.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بناءً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سبق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ذكره،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يمكننا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القول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صيرورة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الداي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ممثّلاً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للسلطان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صبّ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خانة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تكريس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استقلالية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أكثر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أيّ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شيءٍ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آخر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اكتسبت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الواقع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سالفًا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خلال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فترة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الآغوات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. </w:t>
      </w:r>
    </w:p>
    <w:p w:rsidR="007F4149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pacing w:val="1"/>
          <w:sz w:val="30"/>
          <w:szCs w:val="30"/>
          <w:rtl/>
          <w:lang w:bidi="ar-DZ"/>
        </w:rPr>
      </w:pPr>
    </w:p>
    <w:p w:rsidR="007F4149" w:rsidRPr="00291FF9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pacing w:val="1"/>
          <w:sz w:val="24"/>
          <w:szCs w:val="24"/>
          <w:rtl/>
          <w:lang w:bidi="ar-DZ"/>
        </w:rPr>
      </w:pPr>
      <w:r>
        <w:rPr>
          <w:rFonts w:ascii="Bahij Lotus" w:hAnsi="Bahij Lotus" w:cs="Bahij Lotus" w:hint="cs"/>
          <w:spacing w:val="1"/>
          <w:sz w:val="24"/>
          <w:szCs w:val="24"/>
          <w:rtl/>
          <w:lang w:bidi="ar-DZ"/>
        </w:rPr>
        <w:t xml:space="preserve">* </w:t>
      </w:r>
      <w:r w:rsidRPr="0004377C">
        <w:rPr>
          <w:rFonts w:ascii="Bahij Lotus" w:hAnsi="Bahij Lotus" w:cs="Bahij Lotus"/>
          <w:rtl/>
        </w:rPr>
        <w:t>المركزية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تهدف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إلى تركيز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السلط</w:t>
      </w:r>
      <w:r>
        <w:rPr>
          <w:rFonts w:ascii="Bahij Lotus" w:hAnsi="Bahij Lotus" w:cs="Bahij Lotus" w:hint="cs"/>
          <w:rtl/>
        </w:rPr>
        <w:t xml:space="preserve">ات </w:t>
      </w:r>
      <w:r w:rsidRPr="0004377C">
        <w:rPr>
          <w:rFonts w:ascii="Bahij Lotus" w:hAnsi="Bahij Lotus" w:cs="Bahij Lotus"/>
          <w:rtl/>
        </w:rPr>
        <w:t>في مركز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قرار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واحد</w:t>
      </w:r>
      <w:r>
        <w:rPr>
          <w:rFonts w:ascii="Bahij Lotus" w:hAnsi="Bahij Lotus" w:cs="Bahij Lotus" w:hint="cs"/>
          <w:rtl/>
        </w:rPr>
        <w:t xml:space="preserve">، </w:t>
      </w:r>
      <w:r w:rsidRPr="0004377C">
        <w:rPr>
          <w:rFonts w:ascii="Bahij Lotus" w:hAnsi="Bahij Lotus" w:cs="Bahij Lotus"/>
          <w:rtl/>
        </w:rPr>
        <w:t>و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ال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>ذي ي</w:t>
      </w:r>
      <w:r>
        <w:rPr>
          <w:rFonts w:ascii="Bahij Lotus" w:hAnsi="Bahij Lotus" w:cs="Bahij Lotus" w:hint="cs"/>
          <w:rtl/>
        </w:rPr>
        <w:t>م</w:t>
      </w:r>
      <w:r w:rsidRPr="0004377C">
        <w:rPr>
          <w:rFonts w:ascii="Bahij Lotus" w:hAnsi="Bahij Lotus" w:cs="Bahij Lotus"/>
          <w:rtl/>
        </w:rPr>
        <w:t>كن أن ي</w:t>
      </w:r>
      <w:r>
        <w:rPr>
          <w:rFonts w:ascii="Bahij Lotus" w:hAnsi="Bahij Lotus" w:cs="Bahij Lotus" w:hint="cs"/>
          <w:rtl/>
        </w:rPr>
        <w:t>فوّض جزءًا</w:t>
      </w:r>
      <w:r w:rsidRPr="0004377C">
        <w:rPr>
          <w:rFonts w:ascii="Bahij Lotus" w:hAnsi="Bahij Lotus" w:cs="Bahij Lotus"/>
          <w:rtl/>
        </w:rPr>
        <w:t xml:space="preserve"> من هذه السلط إلى أعوانه عن طريق ما يسمى باللات</w:t>
      </w:r>
      <w:r>
        <w:rPr>
          <w:rFonts w:ascii="Bahij Lotus" w:hAnsi="Bahij Lotus" w:cs="Bahij Lotus" w:hint="cs"/>
          <w:rtl/>
        </w:rPr>
        <w:t>م</w:t>
      </w:r>
      <w:r w:rsidRPr="0004377C">
        <w:rPr>
          <w:rFonts w:ascii="Bahij Lotus" w:hAnsi="Bahij Lotus" w:cs="Bahij Lotus"/>
          <w:rtl/>
        </w:rPr>
        <w:t>ركز</w:t>
      </w:r>
      <w:r w:rsidRPr="0004377C">
        <w:rPr>
          <w:rFonts w:ascii="Bahij Lotus" w:hAnsi="Bahij Lotus" w:cs="Bahij Lotus"/>
        </w:rPr>
        <w:t xml:space="preserve"> </w:t>
      </w:r>
      <w:r>
        <w:rPr>
          <w:rFonts w:ascii="Bahij Lotus" w:hAnsi="Bahij Lotus" w:cs="Bahij Lotus" w:hint="cs"/>
          <w:rtl/>
        </w:rPr>
        <w:t>(</w:t>
      </w:r>
      <w:r w:rsidRPr="0004377C">
        <w:rPr>
          <w:rFonts w:ascii="Bahij Lotus" w:hAnsi="Bahij Lotus" w:cs="Bahij Lotus"/>
        </w:rPr>
        <w:t>déconcentration</w:t>
      </w:r>
      <w:r>
        <w:rPr>
          <w:rFonts w:ascii="Bahij Lotus" w:hAnsi="Bahij Lotus" w:cs="Bahij Lotus" w:hint="cs"/>
          <w:rtl/>
        </w:rPr>
        <w:t>)</w:t>
      </w:r>
      <w:r w:rsidRPr="0004377C">
        <w:rPr>
          <w:rFonts w:ascii="Bahij Lotus" w:hAnsi="Bahij Lotus" w:cs="Bahij Lotus"/>
        </w:rPr>
        <w:t xml:space="preserve"> .</w:t>
      </w:r>
      <w:r w:rsidRPr="0004377C">
        <w:rPr>
          <w:rFonts w:ascii="Bahij Lotus" w:hAnsi="Bahij Lotus" w:cs="Bahij Lotus"/>
          <w:rtl/>
        </w:rPr>
        <w:t>هذه العملية عملية تُباشر داخل المنظومة الإدارية</w:t>
      </w:r>
      <w:r>
        <w:rPr>
          <w:rFonts w:ascii="Bahij Lotus" w:hAnsi="Bahij Lotus" w:cs="Bahij Lotus" w:hint="cs"/>
          <w:rtl/>
        </w:rPr>
        <w:t>،</w:t>
      </w:r>
      <w:r w:rsidRPr="0004377C">
        <w:rPr>
          <w:rFonts w:ascii="Bahij Lotus" w:hAnsi="Bahij Lotus" w:cs="Bahij Lotus"/>
          <w:rtl/>
        </w:rPr>
        <w:t xml:space="preserve"> حيث أن العلاقة التي تربط بي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مختلف مكونات هذه المنظومة هي علاقة مبنية أو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>لا على سلطة ت</w:t>
      </w:r>
      <w:r>
        <w:rPr>
          <w:rFonts w:ascii="Bahij Lotus" w:hAnsi="Bahij Lotus" w:cs="Bahij Lotus" w:hint="cs"/>
          <w:rtl/>
        </w:rPr>
        <w:t>راتبي</w:t>
      </w:r>
      <w:r w:rsidRPr="0004377C">
        <w:rPr>
          <w:rFonts w:ascii="Bahij Lotus" w:hAnsi="Bahij Lotus" w:cs="Bahij Lotus"/>
          <w:rtl/>
        </w:rPr>
        <w:t xml:space="preserve">ة </w:t>
      </w:r>
      <w:r>
        <w:rPr>
          <w:rFonts w:ascii="Bahij Lotus" w:hAnsi="Bahij Lotus" w:cs="Bahij Lotus" w:hint="cs"/>
          <w:rtl/>
        </w:rPr>
        <w:t>(</w:t>
      </w:r>
      <w:r w:rsidRPr="0004377C">
        <w:rPr>
          <w:rFonts w:ascii="Bahij Lotus" w:hAnsi="Bahij Lotus" w:cs="Bahij Lotus"/>
        </w:rPr>
        <w:t>Pouvoir hiérarchique</w:t>
      </w:r>
      <w:r>
        <w:rPr>
          <w:rFonts w:ascii="Bahij Lotus" w:hAnsi="Bahij Lotus" w:cs="Bahij Lotus" w:hint="cs"/>
          <w:rtl/>
        </w:rPr>
        <w:t xml:space="preserve">)، </w:t>
      </w:r>
      <w:r w:rsidRPr="0004377C">
        <w:rPr>
          <w:rFonts w:ascii="Bahij Lotus" w:hAnsi="Bahij Lotus" w:cs="Bahij Lotus"/>
          <w:rtl/>
        </w:rPr>
        <w:t>و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ثانيا على مبدأ التعيي</w:t>
      </w:r>
      <w:r>
        <w:rPr>
          <w:rFonts w:ascii="Bahij Lotus" w:hAnsi="Bahij Lotus" w:cs="Bahij Lotus" w:hint="cs"/>
          <w:rtl/>
        </w:rPr>
        <w:t>ن.</w:t>
      </w:r>
      <w:r w:rsidRPr="0004377C">
        <w:rPr>
          <w:rFonts w:ascii="Bahij Lotus" w:hAnsi="Bahij Lotus" w:cs="Bahij Lotus"/>
        </w:rPr>
        <w:t xml:space="preserve"> </w:t>
      </w:r>
      <w:r w:rsidRPr="0004377C">
        <w:rPr>
          <w:rFonts w:ascii="Bahij Lotus" w:hAnsi="Bahij Lotus" w:cs="Bahij Lotus"/>
          <w:rtl/>
        </w:rPr>
        <w:t>أم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>ا اللامركزية</w:t>
      </w:r>
      <w:r>
        <w:rPr>
          <w:rFonts w:ascii="Bahij Lotus" w:hAnsi="Bahij Lotus" w:cs="Bahij Lotus" w:hint="cs"/>
          <w:rtl/>
        </w:rPr>
        <w:t>،</w:t>
      </w:r>
      <w:r w:rsidRPr="0004377C">
        <w:rPr>
          <w:rFonts w:ascii="Bahij Lotus" w:hAnsi="Bahij Lotus" w:cs="Bahij Lotus"/>
          <w:rtl/>
        </w:rPr>
        <w:t xml:space="preserve"> فإنها ت</w:t>
      </w:r>
      <w:r>
        <w:rPr>
          <w:rFonts w:ascii="Bahij Lotus" w:hAnsi="Bahij Lotus" w:cs="Bahij Lotus" w:hint="cs"/>
          <w:rtl/>
        </w:rPr>
        <w:t>م</w:t>
      </w:r>
      <w:r w:rsidRPr="0004377C">
        <w:rPr>
          <w:rFonts w:ascii="Bahij Lotus" w:hAnsi="Bahij Lotus" w:cs="Bahij Lotus"/>
          <w:rtl/>
        </w:rPr>
        <w:t>يل إلى تعد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>د مراكز القرار وذلك ب</w:t>
      </w:r>
      <w:r>
        <w:rPr>
          <w:rFonts w:ascii="Bahij Lotus" w:hAnsi="Bahij Lotus" w:cs="Bahij Lotus" w:hint="cs"/>
          <w:rtl/>
        </w:rPr>
        <w:t>تفويض</w:t>
      </w:r>
      <w:r w:rsidRPr="0004377C">
        <w:rPr>
          <w:rFonts w:ascii="Bahij Lotus" w:hAnsi="Bahij Lotus" w:cs="Bahij Lotus"/>
          <w:rtl/>
        </w:rPr>
        <w:t xml:space="preserve"> السلطة </w:t>
      </w:r>
      <w:r>
        <w:rPr>
          <w:rFonts w:ascii="Bahij Lotus" w:hAnsi="Bahij Lotus" w:cs="Bahij Lotus" w:hint="cs"/>
          <w:rtl/>
        </w:rPr>
        <w:t>(</w:t>
      </w:r>
      <w:r w:rsidRPr="0004377C">
        <w:rPr>
          <w:rFonts w:ascii="Bahij Lotus" w:hAnsi="Bahij Lotus" w:cs="Bahij Lotus"/>
        </w:rPr>
        <w:t>(pouvoir</w:t>
      </w:r>
      <w:r>
        <w:rPr>
          <w:rFonts w:ascii="Bahij Lotus" w:hAnsi="Bahij Lotus" w:cs="Bahij Lotus" w:hint="cs"/>
          <w:rtl/>
        </w:rPr>
        <w:t xml:space="preserve"> أو التخلّي عنها لصالح</w:t>
      </w:r>
      <w:r w:rsidRPr="0004377C">
        <w:rPr>
          <w:rFonts w:ascii="Bahij Lotus" w:hAnsi="Bahij Lotus" w:cs="Bahij Lotus"/>
          <w:rtl/>
        </w:rPr>
        <w:t xml:space="preserve"> المعنيي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بالأمر أو </w:t>
      </w:r>
      <w:r>
        <w:rPr>
          <w:rFonts w:ascii="Bahij Lotus" w:hAnsi="Bahij Lotus" w:cs="Bahij Lotus" w:hint="cs"/>
          <w:rtl/>
        </w:rPr>
        <w:t>ل</w:t>
      </w:r>
      <w:r w:rsidRPr="0004377C">
        <w:rPr>
          <w:rFonts w:ascii="Bahij Lotus" w:hAnsi="Bahij Lotus" w:cs="Bahij Lotus"/>
          <w:rtl/>
        </w:rPr>
        <w:t>ممثليهم المباشرين</w:t>
      </w:r>
      <w:r>
        <w:rPr>
          <w:rFonts w:ascii="Bahij Lotus" w:hAnsi="Bahij Lotus" w:cs="Bahij Lotus" w:hint="cs"/>
          <w:rtl/>
        </w:rPr>
        <w:t>،</w:t>
      </w:r>
      <w:r w:rsidRPr="0004377C">
        <w:rPr>
          <w:rFonts w:ascii="Bahij Lotus" w:hAnsi="Bahij Lotus" w:cs="Bahij Lotus"/>
          <w:rtl/>
        </w:rPr>
        <w:t xml:space="preserve"> حيث أن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 xml:space="preserve"> العلاقة بي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السلطة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المركزية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و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بي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المنتخبي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المحليي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مبنية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أولا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على المراقبة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على الأعم</w:t>
      </w:r>
      <w:r>
        <w:rPr>
          <w:rFonts w:ascii="Bahij Lotus" w:hAnsi="Bahij Lotus" w:cs="Bahij Lotus" w:hint="cs"/>
          <w:rtl/>
        </w:rPr>
        <w:t>ا</w:t>
      </w:r>
      <w:r w:rsidRPr="0004377C">
        <w:rPr>
          <w:rFonts w:ascii="Bahij Lotus" w:hAnsi="Bahij Lotus" w:cs="Bahij Lotus"/>
          <w:rtl/>
        </w:rPr>
        <w:t>ل و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ليس على الأشخاص</w:t>
      </w:r>
      <w:r>
        <w:rPr>
          <w:rFonts w:ascii="Bahij Lotus" w:hAnsi="Bahij Lotus" w:cs="Bahij Lotus" w:hint="cs"/>
          <w:rtl/>
        </w:rPr>
        <w:t>،</w:t>
      </w:r>
      <w:r w:rsidRPr="0004377C">
        <w:rPr>
          <w:rFonts w:ascii="Bahij Lotus" w:hAnsi="Bahij Lotus" w:cs="Bahij Lotus"/>
          <w:rtl/>
        </w:rPr>
        <w:t xml:space="preserve"> و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ثانيا على مبدأ الانتخاب</w:t>
      </w:r>
      <w:r>
        <w:rPr>
          <w:rFonts w:ascii="Bahij Lotus" w:hAnsi="Bahij Lotus" w:cs="Bahij Lotus" w:hint="cs"/>
          <w:rtl/>
        </w:rPr>
        <w:t>.</w:t>
      </w:r>
    </w:p>
    <w:p w:rsidR="007F4149" w:rsidRPr="00F31722" w:rsidRDefault="007F4149" w:rsidP="007F4149">
      <w:pPr>
        <w:bidi/>
        <w:spacing w:after="0" w:line="240" w:lineRule="auto"/>
        <w:ind w:firstLine="425"/>
        <w:jc w:val="both"/>
        <w:rPr>
          <w:rFonts w:ascii="Bahij Lotus" w:hAnsi="Bahij Lotus" w:cs="Bahij Lotus"/>
          <w:spacing w:val="-2"/>
          <w:sz w:val="30"/>
          <w:szCs w:val="30"/>
          <w:rtl/>
          <w:lang w:bidi="ar-DZ"/>
        </w:rPr>
      </w:pPr>
      <w:r w:rsidRPr="00110EB2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lastRenderedPageBreak/>
        <w:t xml:space="preserve">ثانيًا </w:t>
      </w:r>
      <w:r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>:</w:t>
      </w:r>
      <w:r w:rsidRPr="00110EB2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 إنّ</w:t>
      </w:r>
      <w:r w:rsidRPr="00110EB2">
        <w:rPr>
          <w:rFonts w:ascii="Bahij Lotus" w:hAnsi="Bahij Lotus" w:cs="Bahij Lotus"/>
          <w:spacing w:val="1"/>
          <w:sz w:val="30"/>
          <w:szCs w:val="30"/>
          <w:rtl/>
          <w:lang w:bidi="ar-DZ"/>
        </w:rPr>
        <w:t xml:space="preserve"> </w:t>
      </w:r>
      <w:r w:rsidRPr="00110EB2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>الرأي</w:t>
      </w:r>
      <w:r w:rsidRPr="00110EB2">
        <w:rPr>
          <w:rFonts w:ascii="Bahij Lotus" w:hAnsi="Bahij Lotus" w:cs="Bahij Lotus"/>
          <w:spacing w:val="1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الأقلّ تواترًا، الّذي اعتبر ثورة الآغوات سنة 1659 "انفصالاً" - و هذا المصطلح ما هو إلاّ تعبير </w:t>
      </w:r>
      <w:r w:rsidRPr="00697D4F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آخر عن الاستقلال - عن الدولة العثمانية غير صحيح أيضًا ؛ و يكفي للتثبّت من ذلك</w:t>
      </w:r>
      <w:r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استعراض سلسلة ردود الأفعال أو الانعكاسات الّتي تمخّضت عنها تلك الواقعة : فقد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غضب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الصدر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الأعـظم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انقلاب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أوجاق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الجزائر،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عدّه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خروجًا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عن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طاعة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السلطان،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قام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بإرسال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فرمان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إلى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الجزائري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ين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ينذرهم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فيه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: "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أخيرًا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لن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نرسل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إليكم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واليًا،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بايعوا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من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تريدون،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السلطان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ليس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بحاجة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إلى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عبوديتكم،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لدينا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آلاف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الممالك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مثل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الجزائر،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فالجزائر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إن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كانت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و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إن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لم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تكن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شيء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واحد،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و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من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بعد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ذلك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إن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اقتربتم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من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الممالك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العثمانية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فلن</w:t>
      </w:r>
      <w:r w:rsidRPr="00FE2919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تكونوا</w:t>
      </w:r>
      <w:r w:rsidRPr="00FE2919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راضين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"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؛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كما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أرسل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فرمانًا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آخر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إلى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الموانئ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في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جميع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السواحل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العثمانية،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إلى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والي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مصر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شريف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مكّة،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يطلب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منهما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الجزائريين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الذهاب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الحجّ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عدم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بيع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السلاح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لهم،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عدم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السماح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لهم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بالاقتراب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السواحل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العثمانية،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ممّا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كان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يعني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تعطّل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حركة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الحجّ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التجارة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المشرق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قد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يسبّبه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كلّ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ذلك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استياء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في أوساط الرعية و العسكر على حدّ سواء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فضلاً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عن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تو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ق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ّ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ف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عمليات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تجنيد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الإنكشارية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الحيوية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لاستمرار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الأوجاق</w:t>
      </w:r>
      <w:r w:rsidRPr="00E742CB">
        <w:rPr>
          <w:rFonts w:ascii="Bahij Lotus" w:hAnsi="Bahij Lotus" w:cs="Bahij Lotus"/>
          <w:sz w:val="30"/>
          <w:szCs w:val="30"/>
          <w:lang w:bidi="ar-DZ"/>
        </w:rPr>
        <w:t>.</w:t>
      </w:r>
    </w:p>
    <w:p w:rsidR="007F4149" w:rsidRPr="00E742CB" w:rsidRDefault="007F4149" w:rsidP="007F4149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و بالفعل، لقد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أبدى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عدد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متزايد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من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الجزائريين،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و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بالأخصّ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من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"الأتراك"،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استياءه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ممّا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آلت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إليه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العلاقات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الدولة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العثماني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قطيعة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حصار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؛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لذا،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حاول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وا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إعادة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الأمور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نصابها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الباب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العالي،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قام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وا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بإرسال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وفدٍ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خلال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شتاء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1661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لطلب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الشفاعة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السلطان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لتجديد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الولاء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له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لمّا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حظي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أعضاء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هذا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الوفد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بمقابلة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السلطان،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اشتكوا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له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وضع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البلاد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أقرّوا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: "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لو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أرسلت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لنا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كلبًا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لقبلناه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باشا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علينا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"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؛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لكن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الأمر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كلّه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كان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بيد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الصدر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الأعظم كوبرولي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الّذي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يستمع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لهم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يقبل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استشفاعهم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هكذا،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يملك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الوفد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الجزائري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خيار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سوى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الانتظار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بصبر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يلين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موقف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المذكور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>.</w:t>
      </w:r>
    </w:p>
    <w:p w:rsidR="007F4149" w:rsidRDefault="007F4149" w:rsidP="007F4149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>
        <w:rPr>
          <w:rFonts w:ascii="Bahij Lotus" w:hAnsi="Bahij Lotus" w:cs="Bahij Lotus" w:hint="cs"/>
          <w:sz w:val="30"/>
          <w:szCs w:val="30"/>
          <w:rtl/>
          <w:lang w:bidi="ar-DZ"/>
        </w:rPr>
        <w:t>سي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تغيّر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موقف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الباب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العالي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في غضون سنة 1662،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بيد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أنّ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هذا التحوّل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يكن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راجع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أساسًا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الهدايا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العشرة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آلاف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سكّة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ذهبي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الّتي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وزعها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الوفد،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الهزائم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البحري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الّتي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تكبّدها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الأسطول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العثماني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حينها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أمام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البنادقة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في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بحر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إيجة،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الّتي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أبرزت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الحاجة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الإستعانة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بالقوّة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البحري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الجزائري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المتمرّسة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في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مواجهة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البندقي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حلفائها.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بناءً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على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ذلك،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ولّى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السلطان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باشا جديد ليست له صلاحيات حقيقية كممثّل عنه لدى أوجاق الجزائر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>.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و هكذا حافظت حاجة كلّ طرف للآخر على روابط الولاء و التبعية بين الدولة العثمانية و إيالتها البعيدة.</w:t>
      </w:r>
    </w:p>
    <w:p w:rsidR="007F4149" w:rsidRPr="00E742CB" w:rsidRDefault="007F4149" w:rsidP="007F4149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و أخيرًا، بالوسع الردّ على المتحجّجين بانفصال الجزائر بدعوتهم إلى الرجوع إلى الكمّ المعتبر من </w:t>
      </w:r>
      <w:r w:rsidRPr="00C858E0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المراسلات المتبادلة بين الجزائر و إسطنبول المحفوظة في دور الأرشيف، و كذلك إلى تدبّر الطرح التالي :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"</w:t>
      </w:r>
      <w:r w:rsidRPr="00C858E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إن صحّ أنّ إيالة الجزائر كانت مستقلّة فعليًّا عن الدولة العثمانية، فذلك يعني أنّها كانت قادرة نظريًا على فكّ ارتباطها كلّيًا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"، و العكس صحيح.</w:t>
      </w:r>
    </w:p>
    <w:p w:rsidR="007F4149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pacing w:val="1"/>
          <w:sz w:val="30"/>
          <w:szCs w:val="30"/>
          <w:rtl/>
          <w:lang w:bidi="ar-DZ"/>
        </w:rPr>
      </w:pPr>
      <w:r w:rsidRPr="00D4216D">
        <w:rPr>
          <w:rFonts w:ascii="Bahij Lotus" w:hAnsi="Bahij Lotus" w:cs="Bahij Lotus" w:hint="cs"/>
          <w:b/>
          <w:bCs/>
          <w:spacing w:val="-2"/>
          <w:sz w:val="32"/>
          <w:szCs w:val="32"/>
          <w:rtl/>
          <w:lang w:bidi="ar-DZ"/>
        </w:rPr>
        <w:lastRenderedPageBreak/>
        <w:t>سؤال :</w:t>
      </w:r>
      <w:r w:rsidRPr="00D4216D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 xml:space="preserve"> </w:t>
      </w:r>
      <w:r w:rsidRPr="00D4216D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قم بمناقشة مفاهيم الاستقلال و الاستقلالية و الحكم الذاتي، مع مراعاة تدعيم ذلك بأمثلة مأخوذة</w:t>
      </w:r>
      <w:r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 من التاريخ العثماني و </w:t>
      </w:r>
      <w:r w:rsidRPr="00110EB2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>اختيار الأنسب منها في سياق الإجابة</w:t>
      </w:r>
      <w:r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. </w:t>
      </w:r>
    </w:p>
    <w:p w:rsidR="007F4149" w:rsidRPr="000072A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</w:p>
    <w:p w:rsidR="007F4149" w:rsidRPr="00811279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  <w:lang w:bidi="ar-DZ"/>
        </w:rPr>
      </w:pPr>
      <w:r w:rsidRPr="00811279">
        <w:rPr>
          <w:rFonts w:ascii="Bahij Lotus" w:hAnsi="Bahij Lotus" w:cs="Bahij Lotus" w:hint="cs"/>
          <w:b/>
          <w:bCs/>
          <w:sz w:val="32"/>
          <w:szCs w:val="32"/>
          <w:rtl/>
          <w:lang w:bidi="ar-DZ"/>
        </w:rPr>
        <w:t>المصادر و المراجع المعتمدة :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1F3A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- أحمد عبيد، "</w:t>
      </w:r>
      <w:r w:rsidRPr="00961F3A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التأريخ الجزائري: تقييم و نقد - حالة الجزائر العثمانية</w:t>
      </w:r>
      <w:r w:rsidRPr="00961F3A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"، في : إنسانيات 47-48، 2010،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ص ص. 57-75.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عمّار بوحوش،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التاريخ السياسي للجزائر من البداية و لغاية 1962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، دار الغرب الإسلامي، بيروت، 1997.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-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مبارك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بن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محمد الميلي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تاريخ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الجزائر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في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القديم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و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الحديث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ج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. 3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مكتبة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النهضة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الجزائرية،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الجزائر،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1964.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</w:rPr>
      </w:pPr>
      <w:r w:rsidRPr="001D1190">
        <w:rPr>
          <w:rFonts w:ascii="Bahij Lotus" w:hAnsi="Bahij Lotus" w:cs="Bahij Lotus" w:hint="cs"/>
          <w:sz w:val="30"/>
          <w:szCs w:val="30"/>
          <w:rtl/>
        </w:rPr>
        <w:t xml:space="preserve">- </w:t>
      </w:r>
      <w:r w:rsidRPr="001D1190">
        <w:rPr>
          <w:rFonts w:ascii="Bahij Lotus" w:hAnsi="Bahij Lotus" w:cs="Bahij Lotus"/>
          <w:sz w:val="30"/>
          <w:szCs w:val="30"/>
          <w:rtl/>
        </w:rPr>
        <w:t xml:space="preserve">شحاتة، حسن إبراهيم. </w:t>
      </w:r>
      <w:r w:rsidRPr="001D1190">
        <w:rPr>
          <w:rFonts w:ascii="Bahij Lotus" w:hAnsi="Bahij Lotus" w:cs="Bahij Lotus"/>
          <w:b/>
          <w:bCs/>
          <w:sz w:val="30"/>
          <w:szCs w:val="30"/>
          <w:rtl/>
        </w:rPr>
        <w:t>أطوار العلاقات المغربية العثمانية. قراءة في تاريخ المغرب عبر خمسة قرون (1510-1947)</w:t>
      </w:r>
      <w:r w:rsidRPr="001D1190">
        <w:rPr>
          <w:rFonts w:ascii="Bahij Lotus" w:hAnsi="Bahij Lotus" w:cs="Bahij Lotus"/>
          <w:sz w:val="30"/>
          <w:szCs w:val="30"/>
          <w:rtl/>
        </w:rPr>
        <w:t xml:space="preserve">، منشأة المعارف، الإسكندرية، 1981. 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1D1190">
        <w:rPr>
          <w:rFonts w:ascii="Bahij Lotus" w:hAnsi="Bahij Lotus" w:cs="Bahij Lotus" w:hint="cs"/>
          <w:spacing w:val="-2"/>
          <w:sz w:val="30"/>
          <w:szCs w:val="30"/>
          <w:rtl/>
        </w:rPr>
        <w:t xml:space="preserve">- </w:t>
      </w:r>
      <w:r w:rsidRPr="001D1190">
        <w:rPr>
          <w:rFonts w:ascii="Bahij Lotus" w:hAnsi="Bahij Lotus" w:cs="Bahij Lotus"/>
          <w:spacing w:val="-2"/>
          <w:sz w:val="30"/>
          <w:szCs w:val="30"/>
          <w:rtl/>
        </w:rPr>
        <w:t>جميل، عائشة</w:t>
      </w:r>
      <w:r w:rsidRPr="001D1190">
        <w:rPr>
          <w:rFonts w:ascii="Bahij Lotus" w:hAnsi="Bahij Lotus" w:cs="Bahij Lotus" w:hint="cs"/>
          <w:spacing w:val="-2"/>
          <w:sz w:val="30"/>
          <w:szCs w:val="30"/>
          <w:rtl/>
        </w:rPr>
        <w:t>.</w:t>
      </w:r>
      <w:r w:rsidRPr="001D119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1D1190">
        <w:rPr>
          <w:rFonts w:ascii="Bahij Lotus" w:hAnsi="Bahij Lotus" w:cs="Bahij Lotus"/>
          <w:b/>
          <w:bCs/>
          <w:spacing w:val="-2"/>
          <w:sz w:val="30"/>
          <w:szCs w:val="30"/>
          <w:rtl/>
        </w:rPr>
        <w:t>الجزائر و الباب العالي من خلال الأرشيف العثماني 1520-1830م</w:t>
      </w:r>
      <w:r w:rsidRPr="001D1190">
        <w:rPr>
          <w:rFonts w:ascii="Bahij Lotus" w:hAnsi="Bahij Lotus" w:cs="Bahij Lotus"/>
          <w:spacing w:val="-2"/>
          <w:sz w:val="30"/>
          <w:szCs w:val="30"/>
          <w:rtl/>
        </w:rPr>
        <w:t xml:space="preserve">، </w:t>
      </w:r>
      <w:r w:rsidRPr="001D1190">
        <w:rPr>
          <w:rFonts w:ascii="Bahij Lotus" w:hAnsi="Bahij Lotus" w:cs="Bahij Lotus"/>
          <w:spacing w:val="-1"/>
          <w:sz w:val="30"/>
          <w:szCs w:val="30"/>
          <w:rtl/>
        </w:rPr>
        <w:t>دكتوراه في التاريخ الحديث</w:t>
      </w:r>
      <w:r w:rsidRPr="001D1190">
        <w:rPr>
          <w:rFonts w:ascii="Bahij Lotus" w:hAnsi="Bahij Lotus" w:cs="Bahij Lotus"/>
          <w:sz w:val="30"/>
          <w:szCs w:val="30"/>
          <w:rtl/>
        </w:rPr>
        <w:t xml:space="preserve"> و المعاصر، جامعة جيلالي ليابس، سيدي بلعباس، 2017</w:t>
      </w:r>
      <w:r w:rsidRPr="001D1190">
        <w:rPr>
          <w:rFonts w:ascii="Bahij Lotus" w:hAnsi="Bahij Lotus" w:cs="Bahij Lotus" w:hint="cs"/>
          <w:sz w:val="30"/>
          <w:szCs w:val="30"/>
          <w:rtl/>
        </w:rPr>
        <w:t>.</w:t>
      </w:r>
    </w:p>
    <w:p w:rsidR="007F4149" w:rsidRPr="001D1190" w:rsidRDefault="007F4149" w:rsidP="007F4149">
      <w:pPr>
        <w:bidi/>
        <w:spacing w:after="0" w:line="240" w:lineRule="auto"/>
        <w:jc w:val="both"/>
        <w:outlineLvl w:val="0"/>
        <w:rPr>
          <w:rFonts w:ascii="Bahij Lotus" w:hAnsi="Bahij Lotus" w:cs="Bahij Lotus"/>
          <w:sz w:val="30"/>
          <w:szCs w:val="30"/>
          <w:lang w:bidi="ar-DZ"/>
        </w:rPr>
      </w:pP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كوران، آرجمنت</w:t>
      </w: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السياسة العثمانية تجاه الاحتلال الفرنسي للجزائر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، ترجمة عبد الجليل التميمي، منشورات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الجامعة التونسية، 1970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1F3A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حمّاش، خليفة إبراهيم</w:t>
      </w:r>
      <w:r w:rsidRPr="00961F3A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.</w:t>
      </w:r>
      <w:r w:rsidRPr="00961F3A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العلاقات بين إيالة الجزائر و الباب العالي من سنة 1798 إلى 1830م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، ماجستير</w:t>
      </w:r>
      <w:r w:rsidRPr="001D1190">
        <w:rPr>
          <w:rFonts w:ascii="Bahij Lotus" w:hAnsi="Bahij Lotus" w:cs="Bahij Lotus"/>
          <w:spacing w:val="3"/>
          <w:sz w:val="30"/>
          <w:szCs w:val="30"/>
          <w:rtl/>
          <w:lang w:bidi="ar-DZ"/>
        </w:rPr>
        <w:t xml:space="preserve"> في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التاريخ الحديث، جامعة الإسكندرية، 1988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1F3A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زهرة، زكية</w:t>
      </w:r>
      <w:r w:rsidRPr="00961F3A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.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>التنافس الفرنسي الإنكليزي على الجزائر و موقف الباب العالي منه (1792-1830)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، 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ماجستير في 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التاريخ الحديث و المعاصر، جامعة الجزائر، 1997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فلّوح، عبد القادر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العلاقات الجزائرية العثمانية في الفترة (1233-1246ﻫ الموافق ﻟ 1818-1830م)، على ضوء وثائق المكتبة الوطنية الجزائرية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، ماجستير في التاريخ الحديث و المعاصر، جامعة الجزائر 2، 2010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pacing w:val="-1"/>
          <w:sz w:val="30"/>
          <w:szCs w:val="30"/>
          <w:lang w:bidi="ar-DZ"/>
        </w:rPr>
      </w:pPr>
      <w:r w:rsidRPr="001D1190">
        <w:rPr>
          <w:rFonts w:ascii="Bahij Lotus" w:hAnsi="Bahij Lotus" w:cs="Bahij Lotus" w:hint="cs"/>
          <w:spacing w:val="-1"/>
          <w:sz w:val="30"/>
          <w:szCs w:val="30"/>
          <w:rtl/>
          <w:lang w:bidi="ar-DZ"/>
        </w:rPr>
        <w:t xml:space="preserve">- محرز، أمين. </w:t>
      </w:r>
      <w:r w:rsidRPr="001D1190">
        <w:rPr>
          <w:rFonts w:ascii="Bahij Lotus" w:hAnsi="Bahij Lotus" w:cs="Bahij Lotus" w:hint="cs"/>
          <w:b/>
          <w:bCs/>
          <w:spacing w:val="-1"/>
          <w:sz w:val="30"/>
          <w:szCs w:val="30"/>
          <w:rtl/>
          <w:lang w:bidi="ar-DZ"/>
        </w:rPr>
        <w:t>الجزائر في عهد الآغوات (1659-1671م)</w:t>
      </w:r>
      <w:r w:rsidRPr="001D1190">
        <w:rPr>
          <w:rFonts w:ascii="Bahij Lotus" w:hAnsi="Bahij Lotus" w:cs="Bahij Lotus" w:hint="cs"/>
          <w:spacing w:val="-1"/>
          <w:sz w:val="30"/>
          <w:szCs w:val="30"/>
          <w:rtl/>
          <w:lang w:bidi="ar-DZ"/>
        </w:rPr>
        <w:t>، ماجستير في التاريخ الحديث، جامعة الجزائر، 2008.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مريخي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،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رشيد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b/>
          <w:bCs/>
          <w:spacing w:val="4"/>
          <w:sz w:val="30"/>
          <w:szCs w:val="30"/>
          <w:rtl/>
          <w:lang w:bidi="ar-DZ"/>
        </w:rPr>
        <w:t>الجزائر في عهد الداي مصطفى باشا 1212-1220ﻫ/1798-1805م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، ماجستير في التاريخ</w:t>
      </w:r>
      <w:r w:rsidRPr="001D1190">
        <w:rPr>
          <w:rFonts w:ascii="Bahij Lotus" w:hAnsi="Bahij Lotus" w:cs="Bahij Lotus"/>
          <w:spacing w:val="-1"/>
          <w:sz w:val="30"/>
          <w:szCs w:val="30"/>
          <w:rtl/>
          <w:lang w:bidi="ar-DZ"/>
        </w:rPr>
        <w:t xml:space="preserve"> الحديث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و المعاصر، جامعة الجزائر 2، 2011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pacing w:val="-6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lastRenderedPageBreak/>
        <w:t xml:space="preserve">- 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</w:rPr>
        <w:t>بن نعماني، سيد أحمد. "</w:t>
      </w:r>
      <w:r w:rsidRPr="001D1190">
        <w:rPr>
          <w:rFonts w:ascii="Bahij Lotus" w:hAnsi="Bahij Lotus" w:cs="Bahij Lotus" w:hint="cs"/>
          <w:b/>
          <w:bCs/>
          <w:spacing w:val="4"/>
          <w:sz w:val="30"/>
          <w:szCs w:val="30"/>
          <w:rtl/>
        </w:rPr>
        <w:t xml:space="preserve">وظيفة وكيل الجزائر لدى الدولة العثمانية و بعض إيالاتها من خلال بعض وثائق </w:t>
      </w:r>
      <w:r w:rsidRPr="001D1190">
        <w:rPr>
          <w:rFonts w:ascii="Bahij Lotus" w:hAnsi="Bahij Lotus" w:cs="Bahij Lotus" w:hint="cs"/>
          <w:b/>
          <w:bCs/>
          <w:spacing w:val="-6"/>
          <w:sz w:val="30"/>
          <w:szCs w:val="30"/>
          <w:rtl/>
        </w:rPr>
        <w:t>الرصيدين العثمانيين الموجودين</w:t>
      </w:r>
      <w:r w:rsidRPr="001D1190">
        <w:rPr>
          <w:rFonts w:ascii="Bahij Lotus" w:hAnsi="Bahij Lotus" w:cs="Bahij Lotus" w:hint="cs"/>
          <w:b/>
          <w:bCs/>
          <w:spacing w:val="-5"/>
          <w:sz w:val="30"/>
          <w:szCs w:val="30"/>
          <w:rtl/>
        </w:rPr>
        <w:t xml:space="preserve"> في الجزائر</w:t>
      </w:r>
      <w:r w:rsidRPr="001D1190">
        <w:rPr>
          <w:rFonts w:ascii="Bahij Lotus" w:hAnsi="Bahij Lotus" w:cs="Bahij Lotus" w:hint="cs"/>
          <w:spacing w:val="-6"/>
          <w:sz w:val="30"/>
          <w:szCs w:val="30"/>
          <w:rtl/>
        </w:rPr>
        <w:t>"</w:t>
      </w:r>
      <w:r w:rsidRPr="001D1190">
        <w:rPr>
          <w:rFonts w:ascii="Bahij Lotus" w:hAnsi="Bahij Lotus" w:cs="Bahij Lotus" w:hint="cs"/>
          <w:spacing w:val="-6"/>
          <w:sz w:val="30"/>
          <w:szCs w:val="30"/>
          <w:rtl/>
          <w:lang w:bidi="ar-DZ"/>
        </w:rPr>
        <w:t>،</w:t>
      </w:r>
      <w:r w:rsidRPr="001D1190">
        <w:rPr>
          <w:rFonts w:ascii="Bahij Lotus" w:hAnsi="Bahij Lotus" w:cs="Bahij Lotus" w:hint="cs"/>
          <w:spacing w:val="-6"/>
          <w:sz w:val="30"/>
          <w:szCs w:val="30"/>
          <w:rtl/>
        </w:rPr>
        <w:t xml:space="preserve"> في : مجلّة الحكمة للدراسات التاريخية، 1، 2013، ص ص. 198-207.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color w:val="FF0000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pacing w:val="6"/>
          <w:sz w:val="30"/>
          <w:szCs w:val="30"/>
          <w:rtl/>
          <w:lang w:bidi="ar-DZ"/>
        </w:rPr>
        <w:t>التميمي،</w:t>
      </w:r>
      <w:r w:rsidRPr="001D1190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spacing w:val="6"/>
          <w:sz w:val="30"/>
          <w:szCs w:val="30"/>
          <w:rtl/>
          <w:lang w:bidi="ar-DZ"/>
        </w:rPr>
        <w:t>عبد الجليل</w:t>
      </w:r>
      <w:r w:rsidRPr="001D1190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pacing w:val="6"/>
          <w:sz w:val="30"/>
          <w:szCs w:val="30"/>
          <w:rtl/>
          <w:lang w:bidi="ar-DZ"/>
        </w:rPr>
        <w:t xml:space="preserve"> "</w:t>
      </w:r>
      <w:r w:rsidRPr="001D1190">
        <w:rPr>
          <w:rFonts w:ascii="Bahij Lotus" w:hAnsi="Bahij Lotus" w:cs="Bahij Lotus"/>
          <w:b/>
          <w:bCs/>
          <w:spacing w:val="6"/>
          <w:sz w:val="30"/>
          <w:szCs w:val="30"/>
          <w:rtl/>
          <w:lang w:bidi="ar-DZ"/>
        </w:rPr>
        <w:t>أوّل رسالة من أهالي مدينة الجزائر إلى السلطان سليم الأوّل سنة 1519</w:t>
      </w:r>
      <w:r w:rsidRPr="001D1190">
        <w:rPr>
          <w:rFonts w:ascii="Bahij Lotus" w:hAnsi="Bahij Lotus" w:cs="Bahij Lotus"/>
          <w:spacing w:val="6"/>
          <w:sz w:val="30"/>
          <w:szCs w:val="30"/>
          <w:rtl/>
          <w:lang w:bidi="ar-DZ"/>
        </w:rPr>
        <w:t>"، في :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م.ت.م.، 6 (يوليو 1976)، ص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ص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116-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120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حمّاش، خليفة</w:t>
      </w: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"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الجزائر و الحرب اليونانية العثمانية (1821-1827م)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"، في</w:t>
      </w: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: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م.ت.م. 65-66، أوت 1992،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ص ص. 17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5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-1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85.</w:t>
      </w:r>
    </w:p>
    <w:p w:rsidR="007F4149" w:rsidRPr="001D1190" w:rsidRDefault="007F4149" w:rsidP="007F4149">
      <w:pPr>
        <w:bidi/>
        <w:spacing w:after="12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-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الطبايلي، عبد الحفيظ. "</w:t>
      </w:r>
      <w:r w:rsidRPr="001D1190">
        <w:rPr>
          <w:rFonts w:ascii="Bahij Lotus" w:hAnsi="Bahij Lotus" w:cs="Bahij Lotus"/>
          <w:b/>
          <w:bCs/>
          <w:spacing w:val="4"/>
          <w:sz w:val="30"/>
          <w:szCs w:val="30"/>
          <w:rtl/>
          <w:lang w:bidi="ar-DZ"/>
        </w:rPr>
        <w:t>الولايات المغاربية في الأرشيف العثماني. قراءة في بنية الوثيقة العثمانية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"، في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 :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العثمانيون في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المغارب من خلال الأرشيفات المحلية و المتوسطية، ط.1، منشورات كلية الآداب و العلوم</w:t>
      </w:r>
      <w:r w:rsidRPr="001D119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الإنسانية، الرباط،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2005، ص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ص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. 35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-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71.</w:t>
      </w:r>
    </w:p>
    <w:p w:rsidR="007F4149" w:rsidRPr="001D1190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E43B3B">
        <w:rPr>
          <w:rFonts w:ascii="Bahij Lotus" w:hAnsi="Bahij Lotus" w:cs="Bahij Lotus"/>
          <w:spacing w:val="4"/>
          <w:sz w:val="30"/>
          <w:szCs w:val="30"/>
        </w:rPr>
        <w:t xml:space="preserve">- Charrière, E. </w:t>
      </w:r>
      <w:r w:rsidRPr="00E43B3B">
        <w:rPr>
          <w:rFonts w:ascii="Bahij Lotus" w:hAnsi="Bahij Lotus" w:cs="Bahij Lotus"/>
          <w:b/>
          <w:bCs/>
          <w:spacing w:val="4"/>
          <w:sz w:val="30"/>
          <w:szCs w:val="30"/>
        </w:rPr>
        <w:t>Négociations de la France dans le Levant ou Correspondances,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 mémoires et 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</w:rPr>
        <w:t>actes diplomatiques des ambassadeurs de France à Constantinople et des ambassadeurs,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 </w:t>
      </w:r>
      <w:r w:rsidRPr="001D1190">
        <w:rPr>
          <w:rFonts w:ascii="Bahij Lotus" w:hAnsi="Bahij Lotus" w:cs="Bahij Lotus"/>
          <w:b/>
          <w:bCs/>
          <w:spacing w:val="-2"/>
          <w:sz w:val="30"/>
          <w:szCs w:val="30"/>
        </w:rPr>
        <w:t xml:space="preserve">envoyés ou résidents à divers titres à Venise, Raguse, Rome, Malte et Jérusalem, en Turquie, 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Perse, Géorgie, Crimée, Syrie, </w:t>
      </w:r>
      <w:r w:rsidRPr="001D1190">
        <w:rPr>
          <w:rFonts w:ascii="Bahij Lotus" w:hAnsi="Bahij Lotus" w:cs="Bahij Lotus" w:hint="cs"/>
          <w:b/>
          <w:bCs/>
          <w:sz w:val="30"/>
          <w:szCs w:val="30"/>
        </w:rPr>
        <w:t>É</w:t>
      </w:r>
      <w:r w:rsidRPr="001D1190">
        <w:rPr>
          <w:rFonts w:ascii="Bahij Lotus" w:hAnsi="Bahij Lotus" w:cs="Bahij Lotus"/>
          <w:b/>
          <w:bCs/>
          <w:sz w:val="30"/>
          <w:szCs w:val="30"/>
        </w:rPr>
        <w:t>gypte, etc. et dans les États de Tunis, d’Alger et de Maroc</w:t>
      </w:r>
      <w:r w:rsidRPr="001D1190">
        <w:rPr>
          <w:rFonts w:ascii="Bahij Lotus" w:hAnsi="Bahij Lotus" w:cs="Bahij Lotus"/>
          <w:sz w:val="30"/>
          <w:szCs w:val="30"/>
        </w:rPr>
        <w:t>, 4 T., Imprimerie nationale, Paris, 1848-1860.</w:t>
      </w:r>
    </w:p>
    <w:p w:rsidR="007F4149" w:rsidRPr="001D1190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val="en-GB" w:bidi="ar-DZ"/>
        </w:rPr>
      </w:pPr>
      <w:r w:rsidRPr="00961F3A">
        <w:rPr>
          <w:rFonts w:ascii="Bahij Lotus" w:hAnsi="Bahij Lotus" w:cs="Bahij Lotus"/>
          <w:spacing w:val="4"/>
          <w:sz w:val="30"/>
          <w:szCs w:val="30"/>
          <w:lang w:val="en-GB" w:bidi="ar-DZ"/>
        </w:rPr>
        <w:t xml:space="preserve">- Grammont. H.D. de, </w:t>
      </w:r>
      <w:r w:rsidRPr="00961F3A">
        <w:rPr>
          <w:rFonts w:ascii="Bahij Lotus" w:hAnsi="Bahij Lotus" w:cs="Bahij Lotus"/>
          <w:b/>
          <w:bCs/>
          <w:spacing w:val="4"/>
          <w:sz w:val="30"/>
          <w:szCs w:val="30"/>
          <w:lang w:val="en-GB" w:bidi="ar-DZ"/>
        </w:rPr>
        <w:t>Correspondance des consuls d’Alger (1690-1742)</w:t>
      </w:r>
      <w:r w:rsidRPr="00961F3A">
        <w:rPr>
          <w:rFonts w:ascii="Bahij Lotus" w:hAnsi="Bahij Lotus" w:cs="Bahij Lotus"/>
          <w:spacing w:val="4"/>
          <w:sz w:val="30"/>
          <w:szCs w:val="30"/>
          <w:lang w:val="en-GB" w:bidi="ar-DZ"/>
        </w:rPr>
        <w:t>, Ernest</w:t>
      </w:r>
      <w:r w:rsidRPr="001D1190">
        <w:rPr>
          <w:rFonts w:ascii="Bahij Lotus" w:hAnsi="Bahij Lotus" w:cs="Bahij Lotus"/>
          <w:spacing w:val="2"/>
          <w:sz w:val="30"/>
          <w:szCs w:val="30"/>
          <w:lang w:val="en-GB" w:bidi="ar-DZ"/>
        </w:rPr>
        <w:t xml:space="preserve"> Leroux,</w:t>
      </w:r>
      <w:r w:rsidRPr="001D1190">
        <w:rPr>
          <w:rFonts w:ascii="Bahij Lotus" w:hAnsi="Bahij Lotus" w:cs="Bahij Lotus"/>
          <w:sz w:val="30"/>
          <w:szCs w:val="30"/>
          <w:lang w:val="en-GB" w:bidi="ar-DZ"/>
        </w:rPr>
        <w:t xml:space="preserve"> Paris, 1890.</w:t>
      </w:r>
    </w:p>
    <w:p w:rsidR="007F4149" w:rsidRPr="00961F3A" w:rsidRDefault="007F4149" w:rsidP="007F4149">
      <w:pPr>
        <w:spacing w:after="0" w:line="240" w:lineRule="auto"/>
        <w:jc w:val="both"/>
        <w:rPr>
          <w:rFonts w:ascii="Bahij Lotus" w:hAnsi="Bahij Lotus" w:cs="Bahij Lotus"/>
          <w:spacing w:val="-2"/>
          <w:w w:val="104"/>
          <w:sz w:val="30"/>
          <w:szCs w:val="30"/>
        </w:rPr>
      </w:pPr>
      <w:r w:rsidRPr="00961F3A">
        <w:rPr>
          <w:rFonts w:ascii="Bahij Lotus" w:hAnsi="Bahij Lotus" w:cs="Bahij Lotus"/>
          <w:spacing w:val="-2"/>
          <w:w w:val="104"/>
          <w:sz w:val="30"/>
          <w:szCs w:val="30"/>
        </w:rPr>
        <w:t xml:space="preserve">- Michel Hervé, </w:t>
      </w:r>
      <w:r w:rsidRPr="00961F3A">
        <w:rPr>
          <w:rFonts w:ascii="Bahij Lotus" w:hAnsi="Bahij Lotus" w:cs="Bahij Lotus"/>
          <w:b/>
          <w:bCs/>
          <w:spacing w:val="-2"/>
          <w:w w:val="104"/>
          <w:sz w:val="30"/>
          <w:szCs w:val="30"/>
        </w:rPr>
        <w:t>Relations entre la régence d’Alger et la Sublime Porte du XVI</w:t>
      </w:r>
      <w:r w:rsidRPr="00961F3A">
        <w:rPr>
          <w:rFonts w:ascii="Bahij Lotus" w:hAnsi="Bahij Lotus" w:cs="Bahij Lotus"/>
          <w:b/>
          <w:bCs/>
          <w:spacing w:val="-2"/>
          <w:w w:val="104"/>
          <w:sz w:val="30"/>
          <w:szCs w:val="30"/>
          <w:vertAlign w:val="superscript"/>
        </w:rPr>
        <w:t>e</w:t>
      </w:r>
      <w:r w:rsidRPr="00961F3A">
        <w:rPr>
          <w:rFonts w:ascii="Bahij Lotus" w:hAnsi="Bahij Lotus" w:cs="Bahij Lotus"/>
          <w:b/>
          <w:bCs/>
          <w:spacing w:val="-2"/>
          <w:w w:val="104"/>
          <w:sz w:val="30"/>
          <w:szCs w:val="30"/>
        </w:rPr>
        <w:t xml:space="preserve"> au XVIII</w:t>
      </w:r>
      <w:r w:rsidRPr="00961F3A">
        <w:rPr>
          <w:rFonts w:ascii="Bahij Lotus" w:hAnsi="Bahij Lotus" w:cs="Bahij Lotus"/>
          <w:b/>
          <w:bCs/>
          <w:spacing w:val="-2"/>
          <w:w w:val="104"/>
          <w:sz w:val="30"/>
          <w:szCs w:val="30"/>
          <w:vertAlign w:val="superscript"/>
        </w:rPr>
        <w:t>e</w:t>
      </w:r>
      <w:r w:rsidRPr="00961F3A">
        <w:rPr>
          <w:rFonts w:ascii="Bahij Lotus" w:hAnsi="Bahij Lotus" w:cs="Bahij Lotus"/>
          <w:b/>
          <w:bCs/>
          <w:spacing w:val="-2"/>
          <w:w w:val="104"/>
          <w:sz w:val="30"/>
          <w:szCs w:val="30"/>
        </w:rPr>
        <w:t xml:space="preserve"> siècle</w:t>
      </w:r>
      <w:r w:rsidRPr="00961F3A">
        <w:rPr>
          <w:rFonts w:ascii="Bahij Lotus" w:hAnsi="Bahij Lotus" w:cs="Bahij Lotus"/>
          <w:spacing w:val="-2"/>
          <w:w w:val="104"/>
          <w:sz w:val="30"/>
          <w:szCs w:val="30"/>
        </w:rPr>
        <w:t>, 2 T., Thèse de doctorat en Histoire et civilisations, EHESS, Paris, 2003.</w:t>
      </w:r>
    </w:p>
    <w:p w:rsidR="007F4149" w:rsidRPr="001D1190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961F3A">
        <w:rPr>
          <w:rFonts w:ascii="Bahij Lotus" w:hAnsi="Bahij Lotus" w:cs="Bahij Lotus"/>
          <w:spacing w:val="4"/>
          <w:w w:val="104"/>
          <w:sz w:val="30"/>
          <w:szCs w:val="30"/>
        </w:rPr>
        <w:t xml:space="preserve">- </w:t>
      </w:r>
      <w:r w:rsidRPr="00961F3A">
        <w:rPr>
          <w:rFonts w:ascii="Bahij Lotus" w:hAnsi="Bahij Lotus" w:cs="Bahij Lotus"/>
          <w:spacing w:val="4"/>
          <w:sz w:val="30"/>
          <w:szCs w:val="30"/>
        </w:rPr>
        <w:t>Mantran, R. "</w:t>
      </w:r>
      <w:r w:rsidRPr="00961F3A">
        <w:rPr>
          <w:rFonts w:ascii="Bahij Lotus" w:hAnsi="Bahij Lotus" w:cs="Bahij Lotus"/>
          <w:b/>
          <w:bCs/>
          <w:spacing w:val="4"/>
          <w:sz w:val="30"/>
          <w:szCs w:val="30"/>
        </w:rPr>
        <w:t xml:space="preserve">L’évolution des relations entre </w:t>
      </w:r>
      <w:smartTag w:uri="urn:schemas-microsoft-com:office:smarttags" w:element="PersonName">
        <w:smartTagPr>
          <w:attr w:name="ProductID" w:val="la Tunisie"/>
        </w:smartTagPr>
        <w:r w:rsidRPr="00961F3A">
          <w:rPr>
            <w:rFonts w:ascii="Bahij Lotus" w:hAnsi="Bahij Lotus" w:cs="Bahij Lotus"/>
            <w:b/>
            <w:bCs/>
            <w:spacing w:val="4"/>
            <w:sz w:val="30"/>
            <w:szCs w:val="30"/>
          </w:rPr>
          <w:t>la Tunisie</w:t>
        </w:r>
      </w:smartTag>
      <w:r w:rsidRPr="00961F3A">
        <w:rPr>
          <w:rFonts w:ascii="Bahij Lotus" w:hAnsi="Bahij Lotus" w:cs="Bahij Lotus"/>
          <w:b/>
          <w:bCs/>
          <w:spacing w:val="4"/>
          <w:sz w:val="30"/>
          <w:szCs w:val="30"/>
        </w:rPr>
        <w:t xml:space="preserve"> et l’Empire Ottoman du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</w:rPr>
        <w:t xml:space="preserve"> XVI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  <w:vertAlign w:val="superscript"/>
        </w:rPr>
        <w:t>e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</w:rPr>
        <w:t xml:space="preserve"> au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 XIX</w:t>
      </w:r>
      <w:r w:rsidRPr="001D1190">
        <w:rPr>
          <w:rFonts w:ascii="Bahij Lotus" w:hAnsi="Bahij Lotus" w:cs="Bahij Lotus"/>
          <w:b/>
          <w:bCs/>
          <w:sz w:val="30"/>
          <w:szCs w:val="30"/>
          <w:vertAlign w:val="superscript"/>
        </w:rPr>
        <w:t>e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 siècle. Essai de synthèse</w:t>
      </w:r>
      <w:r w:rsidRPr="001D1190">
        <w:rPr>
          <w:rFonts w:ascii="Bahij Lotus" w:hAnsi="Bahij Lotus" w:cs="Bahij Lotus"/>
          <w:sz w:val="30"/>
          <w:szCs w:val="30"/>
        </w:rPr>
        <w:t>", in : C.T. 26-27, 1959, pp. 319-333.</w:t>
      </w:r>
    </w:p>
    <w:p w:rsidR="007F4149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1D1190">
        <w:rPr>
          <w:rFonts w:ascii="Bahij Lotus" w:hAnsi="Bahij Lotus" w:cs="Bahij Lotus"/>
          <w:spacing w:val="2"/>
          <w:sz w:val="30"/>
          <w:szCs w:val="30"/>
        </w:rPr>
        <w:t>- Mantran, R. "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</w:rPr>
        <w:t>L’évolution des relations politiques entre le Gouvernement ottoman et les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 Odjaks de l’ouest du XVI</w:t>
      </w:r>
      <w:r w:rsidRPr="001D1190">
        <w:rPr>
          <w:rFonts w:ascii="Bahij Lotus" w:hAnsi="Bahij Lotus" w:cs="Bahij Lotus"/>
          <w:b/>
          <w:bCs/>
          <w:sz w:val="30"/>
          <w:szCs w:val="30"/>
          <w:vertAlign w:val="superscript"/>
        </w:rPr>
        <w:t>e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 au XIX</w:t>
      </w:r>
      <w:r w:rsidRPr="001D1190">
        <w:rPr>
          <w:rFonts w:ascii="Bahij Lotus" w:hAnsi="Bahij Lotus" w:cs="Bahij Lotus"/>
          <w:b/>
          <w:bCs/>
          <w:sz w:val="30"/>
          <w:szCs w:val="30"/>
          <w:vertAlign w:val="superscript"/>
        </w:rPr>
        <w:t>e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 siècle</w:t>
      </w:r>
      <w:r w:rsidRPr="001D1190">
        <w:rPr>
          <w:rFonts w:ascii="Bahij Lotus" w:hAnsi="Bahij Lotus" w:cs="Bahij Lotus"/>
          <w:sz w:val="30"/>
          <w:szCs w:val="30"/>
        </w:rPr>
        <w:t>" in : R.H.R. 2-3, 1964, pp. 51-66.</w:t>
      </w:r>
    </w:p>
    <w:p w:rsidR="007F4149" w:rsidRDefault="007F4149" w:rsidP="007F4149">
      <w:pPr>
        <w:spacing w:after="0" w:line="240" w:lineRule="auto"/>
        <w:jc w:val="both"/>
        <w:rPr>
          <w:rFonts w:ascii="Bahij Lotus" w:hAnsi="Bahij Lotus" w:cs="Bahij Lotus"/>
          <w:sz w:val="28"/>
          <w:szCs w:val="28"/>
        </w:rPr>
      </w:pPr>
      <w:r w:rsidRPr="005428B4">
        <w:rPr>
          <w:rFonts w:ascii="Bahij Lotus" w:hAnsi="Bahij Lotus" w:cs="Bahij Lotus"/>
          <w:spacing w:val="4"/>
          <w:w w:val="104"/>
          <w:sz w:val="28"/>
          <w:szCs w:val="28"/>
        </w:rPr>
        <w:t xml:space="preserve">- </w:t>
      </w:r>
      <w:r w:rsidRPr="005428B4">
        <w:rPr>
          <w:rFonts w:ascii="Bahij Lotus" w:hAnsi="Bahij Lotus" w:cs="Bahij Lotus"/>
          <w:spacing w:val="4"/>
          <w:sz w:val="28"/>
          <w:szCs w:val="28"/>
        </w:rPr>
        <w:t>Vatin, J.-C. "</w:t>
      </w:r>
      <w:r w:rsidRPr="005428B4">
        <w:rPr>
          <w:rFonts w:ascii="Bahij Lotus" w:hAnsi="Bahij Lotus" w:cs="Bahij Lotus"/>
          <w:b/>
          <w:bCs/>
          <w:spacing w:val="4"/>
          <w:sz w:val="28"/>
          <w:szCs w:val="28"/>
        </w:rPr>
        <w:t>L’Algérie en 1830, Essai d’interprétation des recherches historiques sous</w:t>
      </w:r>
      <w:r w:rsidRPr="009E585C">
        <w:rPr>
          <w:rFonts w:ascii="Bahij Lotus" w:hAnsi="Bahij Lotus" w:cs="Bahij Lotus"/>
          <w:b/>
          <w:bCs/>
          <w:sz w:val="28"/>
          <w:szCs w:val="28"/>
        </w:rPr>
        <w:t xml:space="preserve"> l’angle de la science politique</w:t>
      </w:r>
      <w:r w:rsidRPr="00EF4B82">
        <w:rPr>
          <w:rFonts w:ascii="Bahij Lotus" w:hAnsi="Bahij Lotus" w:cs="Bahij Lotus"/>
          <w:sz w:val="28"/>
          <w:szCs w:val="28"/>
        </w:rPr>
        <w:t>", in</w:t>
      </w:r>
      <w:r>
        <w:rPr>
          <w:rFonts w:ascii="Bahij Lotus" w:hAnsi="Bahij Lotus" w:cs="Bahij Lotus"/>
          <w:sz w:val="28"/>
          <w:szCs w:val="28"/>
        </w:rPr>
        <w:t> :</w:t>
      </w:r>
      <w:r w:rsidRPr="00EF4B82">
        <w:rPr>
          <w:rFonts w:ascii="Bahij Lotus" w:hAnsi="Bahij Lotus" w:cs="Bahij Lotus"/>
          <w:sz w:val="28"/>
          <w:szCs w:val="28"/>
        </w:rPr>
        <w:t xml:space="preserve"> R.A.S.J.E.P. 7, 1970, pp. 977-1058.</w:t>
      </w:r>
    </w:p>
    <w:p w:rsidR="007F4149" w:rsidRPr="00961F3A" w:rsidRDefault="007F4149" w:rsidP="007F4149">
      <w:pPr>
        <w:spacing w:after="0" w:line="240" w:lineRule="auto"/>
        <w:jc w:val="both"/>
        <w:outlineLvl w:val="0"/>
        <w:rPr>
          <w:rFonts w:ascii="Bahij Lotus" w:hAnsi="Bahij Lotus" w:cs="Bahij Lotus"/>
          <w:spacing w:val="2"/>
          <w:sz w:val="28"/>
          <w:szCs w:val="28"/>
        </w:rPr>
      </w:pPr>
      <w:r w:rsidRPr="00961F3A">
        <w:rPr>
          <w:rFonts w:ascii="Bahij Lotus" w:hAnsi="Bahij Lotus" w:cs="Bahij Lotus"/>
          <w:spacing w:val="2"/>
          <w:w w:val="104"/>
          <w:sz w:val="28"/>
          <w:szCs w:val="28"/>
        </w:rPr>
        <w:t xml:space="preserve">- </w:t>
      </w:r>
      <w:r w:rsidRPr="00961F3A">
        <w:rPr>
          <w:rFonts w:ascii="Bahij Lotus" w:hAnsi="Bahij Lotus" w:cs="Bahij Lotus"/>
          <w:spacing w:val="2"/>
          <w:sz w:val="28"/>
          <w:szCs w:val="28"/>
        </w:rPr>
        <w:t>Watbeld, E. "</w:t>
      </w:r>
      <w:r w:rsidRPr="00961F3A">
        <w:rPr>
          <w:rFonts w:ascii="Bahij Lotus" w:hAnsi="Bahij Lotus" w:cs="Bahij Lotus"/>
          <w:b/>
          <w:bCs/>
          <w:spacing w:val="2"/>
          <w:sz w:val="28"/>
          <w:szCs w:val="28"/>
        </w:rPr>
        <w:t>Pachas_ Pachas-Deys</w:t>
      </w:r>
      <w:r w:rsidRPr="00961F3A">
        <w:rPr>
          <w:rFonts w:ascii="Bahij Lotus" w:hAnsi="Bahij Lotus" w:cs="Bahij Lotus"/>
          <w:spacing w:val="2"/>
          <w:sz w:val="28"/>
          <w:szCs w:val="28"/>
        </w:rPr>
        <w:t>", in : R.A. 17, 1873, pp. 438-443.</w:t>
      </w:r>
    </w:p>
    <w:p w:rsidR="00B91C2D" w:rsidRPr="007F4149" w:rsidRDefault="00B91C2D" w:rsidP="007F4149">
      <w:pPr>
        <w:bidi/>
        <w:rPr>
          <w:rFonts w:ascii="Bahij Lotus" w:hAnsi="Bahij Lotus" w:cs="Bahij Lotus"/>
          <w:sz w:val="30"/>
          <w:szCs w:val="30"/>
        </w:rPr>
      </w:pPr>
    </w:p>
    <w:sectPr w:rsidR="00B91C2D" w:rsidRPr="007F41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7DF" w:rsidRDefault="00D957DF" w:rsidP="00B00F9B">
      <w:pPr>
        <w:spacing w:after="0" w:line="240" w:lineRule="auto"/>
      </w:pPr>
      <w:r>
        <w:separator/>
      </w:r>
    </w:p>
  </w:endnote>
  <w:endnote w:type="continuationSeparator" w:id="0">
    <w:p w:rsidR="00D957DF" w:rsidRDefault="00D957DF" w:rsidP="00B0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7DF" w:rsidRDefault="00D957DF" w:rsidP="00B00F9B">
      <w:pPr>
        <w:spacing w:after="0" w:line="240" w:lineRule="auto"/>
      </w:pPr>
      <w:r>
        <w:separator/>
      </w:r>
    </w:p>
  </w:footnote>
  <w:footnote w:type="continuationSeparator" w:id="0">
    <w:p w:rsidR="00D957DF" w:rsidRDefault="00D957DF" w:rsidP="00B00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9B" w:rsidRDefault="00B00F9B" w:rsidP="00B00F9B">
    <w:pPr>
      <w:pStyle w:val="En-tte"/>
      <w:bidi/>
    </w:pPr>
    <w:r>
      <w:rPr>
        <w:rFonts w:hint="cs"/>
        <w:rtl/>
        <w:lang w:bidi="ar-DZ"/>
      </w:rPr>
      <w:t>مصطلحات ومفاهيم في تاريخ الجزائر الحديث                                                               السنة الجامعية 2022-2023</w:t>
    </w:r>
  </w:p>
  <w:p w:rsidR="00B00F9B" w:rsidRDefault="00B00F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49"/>
    <w:rsid w:val="007F4149"/>
    <w:rsid w:val="00B00F9B"/>
    <w:rsid w:val="00B91C2D"/>
    <w:rsid w:val="00D957DF"/>
    <w:rsid w:val="00E4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950B1-20B5-4579-8FC3-F5FD9068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149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4149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7F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14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1248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3</cp:revision>
  <dcterms:created xsi:type="dcterms:W3CDTF">2021-01-06T13:41:00Z</dcterms:created>
  <dcterms:modified xsi:type="dcterms:W3CDTF">2022-11-30T21:14:00Z</dcterms:modified>
</cp:coreProperties>
</file>