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E6" w:rsidRDefault="004115E6" w:rsidP="00285A81">
      <w:pPr>
        <w:bidi/>
        <w:spacing w:line="276" w:lineRule="auto"/>
        <w:jc w:val="center"/>
        <w:rPr>
          <w:rFonts w:ascii="Bahij Lotus" w:hAnsi="Bahij Lotus" w:cs="Bahij Lotus"/>
          <w:b/>
          <w:bCs/>
          <w:sz w:val="36"/>
          <w:szCs w:val="36"/>
          <w:rtl/>
          <w:lang w:val="en-GB" w:bidi="ar-DZ"/>
        </w:rPr>
      </w:pPr>
      <w:bookmarkStart w:id="0" w:name="_GoBack"/>
    </w:p>
    <w:p w:rsidR="000D2D4C" w:rsidRDefault="00DE2C2D" w:rsidP="00285A81">
      <w:pPr>
        <w:bidi/>
        <w:spacing w:line="276" w:lineRule="auto"/>
        <w:jc w:val="center"/>
        <w:rPr>
          <w:rFonts w:ascii="Bahij Lotus" w:hAnsi="Bahij Lotus" w:cs="Bahij Lotus"/>
          <w:b/>
          <w:bCs/>
          <w:sz w:val="36"/>
          <w:szCs w:val="36"/>
          <w:rtl/>
          <w:lang w:val="en-GB" w:bidi="ar-DZ"/>
        </w:rPr>
      </w:pPr>
      <w:r w:rsidRPr="00DE2C2D">
        <w:rPr>
          <w:rFonts w:ascii="Bahij Lotus" w:hAnsi="Bahij Lotus" w:cs="Bahij Lotus"/>
          <w:b/>
          <w:bCs/>
          <w:sz w:val="36"/>
          <w:szCs w:val="36"/>
          <w:rtl/>
          <w:lang w:val="en-GB" w:bidi="ar-DZ"/>
        </w:rPr>
        <w:t xml:space="preserve">قائمة </w:t>
      </w:r>
      <w:r w:rsidR="000D2D4C">
        <w:rPr>
          <w:rFonts w:ascii="Bahij Lotus" w:hAnsi="Bahij Lotus" w:cs="Bahij Lotus" w:hint="cs"/>
          <w:b/>
          <w:bCs/>
          <w:sz w:val="36"/>
          <w:szCs w:val="36"/>
          <w:rtl/>
          <w:lang w:val="en-GB" w:bidi="ar-DZ"/>
        </w:rPr>
        <w:t>مختارة ل</w:t>
      </w:r>
      <w:r w:rsidRPr="00DE2C2D">
        <w:rPr>
          <w:rFonts w:ascii="Bahij Lotus" w:hAnsi="Bahij Lotus" w:cs="Bahij Lotus"/>
          <w:b/>
          <w:bCs/>
          <w:sz w:val="36"/>
          <w:szCs w:val="36"/>
          <w:rtl/>
          <w:lang w:val="en-GB" w:bidi="ar-DZ"/>
        </w:rPr>
        <w:t xml:space="preserve">مصادر محلّية وأجنبية معرّبة </w:t>
      </w:r>
    </w:p>
    <w:p w:rsidR="00DE2C2D" w:rsidRPr="00DE2C2D" w:rsidRDefault="00DE2C2D" w:rsidP="00285A81">
      <w:pPr>
        <w:bidi/>
        <w:spacing w:line="276" w:lineRule="auto"/>
        <w:jc w:val="center"/>
        <w:rPr>
          <w:rFonts w:ascii="Bahij Lotus" w:hAnsi="Bahij Lotus" w:cs="Bahij Lotus"/>
          <w:b/>
          <w:bCs/>
          <w:sz w:val="28"/>
          <w:szCs w:val="28"/>
          <w:rtl/>
          <w:lang w:val="en-GB" w:bidi="ar-DZ"/>
        </w:rPr>
      </w:pPr>
      <w:r w:rsidRPr="00DE2C2D">
        <w:rPr>
          <w:rFonts w:ascii="Bahij Lotus" w:hAnsi="Bahij Lotus" w:cs="Bahij Lotus"/>
          <w:b/>
          <w:bCs/>
          <w:sz w:val="36"/>
          <w:szCs w:val="36"/>
          <w:rtl/>
          <w:lang w:val="en-GB" w:bidi="ar-DZ"/>
        </w:rPr>
        <w:t>تخصّ تاريخ الجزائر الحديث</w:t>
      </w:r>
    </w:p>
    <w:p w:rsidR="00DE2C2D" w:rsidRDefault="00DE2C2D" w:rsidP="00285A81">
      <w:pPr>
        <w:bidi/>
        <w:spacing w:line="276" w:lineRule="auto"/>
        <w:jc w:val="center"/>
        <w:rPr>
          <w:rFonts w:ascii="Bahij Lotus" w:hAnsi="Bahij Lotus" w:cs="Bahij Lotus"/>
          <w:sz w:val="28"/>
          <w:szCs w:val="28"/>
          <w:rtl/>
          <w:lang w:val="en-GB" w:bidi="ar-DZ"/>
        </w:rPr>
      </w:pPr>
    </w:p>
    <w:p w:rsidR="00DE2C2D" w:rsidRPr="004115E6" w:rsidRDefault="00DE2C2D" w:rsidP="00285A81">
      <w:pPr>
        <w:bidi/>
        <w:spacing w:line="276" w:lineRule="auto"/>
        <w:jc w:val="center"/>
        <w:rPr>
          <w:rFonts w:ascii="Bahij Lotus" w:hAnsi="Bahij Lotus" w:cs="Bahij Lotus"/>
          <w:sz w:val="30"/>
          <w:szCs w:val="30"/>
          <w:lang w:val="en-GB" w:bidi="ar-DZ"/>
        </w:rPr>
      </w:pP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-</w:t>
      </w:r>
      <w:r w:rsidRPr="004115E6">
        <w:rPr>
          <w:sz w:val="30"/>
          <w:szCs w:val="30"/>
          <w:rtl/>
        </w:rPr>
        <w:t xml:space="preserve">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أكنسوس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محمّد بن أحمد.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الجيش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العرمرم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الخماسي في دولة أولاد مولانا </w:t>
      </w:r>
      <w:proofErr w:type="gram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علي</w:t>
      </w:r>
      <w:proofErr w:type="gram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السجلماسي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تقديم وتحقيق أحمد بن يوسف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الكنسوسي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ج. 1، الوطنية، مراكش، 1994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- ابن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حمادوش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الجزائريّ، عبد الرزّاق.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رحلة ابن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حمادوش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الجزائري المسماة "لسان المقال في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النّباء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عن النّسب والحسب والحال"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تحقيق وتعليق د. أبو القاسم سعد اللّه، المكتبة الوطنيّة - المؤسسة الوطنيّة للكتاب، الجزائر، 1983. 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- ابن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العنتري، محمّد الصالح.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فريدة منسية في حال دخول الترك بلد قسنطينة واستيلاؤهم على أوطانها أو تاريخ قسنطينة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تقديم وتعليق د. يحي بوعزيز، دار هومة، الجزائر، 2005.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- ابن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العنتري، محمّد الصالح.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>مجاعات قسنطينة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، تحقيق وتقديم رابح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</w:rPr>
        <w:t>بونار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</w:rPr>
        <w:t>، الشركة الوطنيّة للنشر والتوزيع، الجزائر، 1974.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ابن المفتي، حسين بن رجب شاوش،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تقييدات ابن المفتي في تاريخ باشوات الجزائر وعلمائها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تحقيق فارس كعوان، بيت الحكمة، العلمة، 2009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باربارو</w:t>
      </w:r>
      <w:proofErr w:type="spellEnd"/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،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نيقولو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الفتح الإسلامي </w:t>
      </w:r>
      <w:proofErr w:type="gram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للقسطنطينية :</w:t>
      </w:r>
      <w:proofErr w:type="gram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يوميات الحصار العثماني، 1453 م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دراسة وترجمة وتعليق د. حاتم عبد الرحمن الطحاوي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عين للدراسات والبحوث الانسانية والاجتماعية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الهرم، 2002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val="en-GB" w:bidi="ar-DZ"/>
        </w:rPr>
        <w:t xml:space="preserve">- </w:t>
      </w:r>
      <w:proofErr w:type="spellStart"/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>الباشي</w:t>
      </w:r>
      <w:proofErr w:type="spellEnd"/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>، حمّودة بن محمّد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val="en-GB" w:bidi="ar-DZ"/>
        </w:rPr>
        <w:t>.</w:t>
      </w:r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 xml:space="preserve"> </w:t>
      </w:r>
      <w:r w:rsidRPr="004115E6">
        <w:rPr>
          <w:rFonts w:ascii="Bahij Lotus" w:hAnsi="Bahij Lotus" w:cs="Bahij Lotus"/>
          <w:b/>
          <w:bCs/>
          <w:spacing w:val="-3"/>
          <w:sz w:val="30"/>
          <w:szCs w:val="30"/>
          <w:rtl/>
          <w:lang w:val="en-GB" w:bidi="ar-DZ"/>
        </w:rPr>
        <w:t xml:space="preserve">تاريخ </w:t>
      </w:r>
      <w:proofErr w:type="spellStart"/>
      <w:r w:rsidRPr="004115E6">
        <w:rPr>
          <w:rFonts w:ascii="Bahij Lotus" w:hAnsi="Bahij Lotus" w:cs="Bahij Lotus"/>
          <w:b/>
          <w:bCs/>
          <w:spacing w:val="-3"/>
          <w:sz w:val="30"/>
          <w:szCs w:val="30"/>
          <w:rtl/>
          <w:lang w:val="en-GB" w:bidi="ar-DZ"/>
        </w:rPr>
        <w:t>الباشي</w:t>
      </w:r>
      <w:proofErr w:type="spellEnd"/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 xml:space="preserve">، مكتبة المسجد النبوي </w:t>
      </w:r>
      <w:proofErr w:type="spellStart"/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>ا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val="en-GB" w:bidi="ar-DZ"/>
        </w:rPr>
        <w:t>ﻟﺸﺮ</w:t>
      </w:r>
      <w:r w:rsidRPr="004115E6">
        <w:rPr>
          <w:rFonts w:ascii="Bahij Lotus" w:hAnsi="Bahij Lotus" w:cs="Bahij Lotus" w:hint="eastAsia"/>
          <w:spacing w:val="-3"/>
          <w:sz w:val="30"/>
          <w:szCs w:val="30"/>
          <w:rtl/>
          <w:lang w:val="en-GB" w:bidi="ar-DZ"/>
        </w:rPr>
        <w:t>يف</w:t>
      </w:r>
      <w:proofErr w:type="spellEnd"/>
      <w:r w:rsidRPr="004115E6">
        <w:rPr>
          <w:rFonts w:ascii="Bahij Lotus" w:hAnsi="Bahij Lotus" w:cs="Bahij Lotus" w:hint="eastAsia"/>
          <w:spacing w:val="-3"/>
          <w:sz w:val="30"/>
          <w:szCs w:val="30"/>
          <w:rtl/>
          <w:lang w:val="en-GB" w:bidi="ar-DZ"/>
        </w:rPr>
        <w:t>،</w:t>
      </w:r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 xml:space="preserve"> مخ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val="en-GB" w:bidi="ar-DZ"/>
        </w:rPr>
        <w:t>طوط رقم</w:t>
      </w:r>
      <w:r w:rsidRPr="004115E6">
        <w:rPr>
          <w:rFonts w:ascii="Bahij Lotus" w:hAnsi="Bahij Lotus" w:cs="Bahij Lotus"/>
          <w:spacing w:val="-3"/>
          <w:sz w:val="30"/>
          <w:szCs w:val="30"/>
          <w:rtl/>
          <w:lang w:val="en-GB" w:bidi="ar-DZ"/>
        </w:rPr>
        <w:t xml:space="preserve"> 900.15، 1303ﻫ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val="en-GB" w:bidi="ar-DZ"/>
        </w:rPr>
        <w:t>-1886م.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4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pacing w:val="-4"/>
          <w:sz w:val="30"/>
          <w:szCs w:val="30"/>
          <w:rtl/>
          <w:lang w:val="en-GB"/>
        </w:rPr>
        <w:t xml:space="preserve">- </w:t>
      </w:r>
      <w:proofErr w:type="spellStart"/>
      <w:r w:rsidRPr="004115E6">
        <w:rPr>
          <w:rFonts w:ascii="Bahij Lotus" w:hAnsi="Bahij Lotus" w:cs="Bahij Lotus" w:hint="cs"/>
          <w:spacing w:val="-4"/>
          <w:sz w:val="30"/>
          <w:szCs w:val="30"/>
          <w:rtl/>
          <w:lang w:val="en-GB"/>
        </w:rPr>
        <w:t>بربروس</w:t>
      </w:r>
      <w:proofErr w:type="spellEnd"/>
      <w:r w:rsidRPr="004115E6">
        <w:rPr>
          <w:rFonts w:ascii="Bahij Lotus" w:hAnsi="Bahij Lotus" w:cs="Bahij Lotus" w:hint="cs"/>
          <w:spacing w:val="-4"/>
          <w:sz w:val="30"/>
          <w:szCs w:val="30"/>
          <w:rtl/>
          <w:lang w:val="en-GB"/>
        </w:rPr>
        <w:t xml:space="preserve">، خير الدين. </w:t>
      </w:r>
      <w:r w:rsidRPr="004115E6">
        <w:rPr>
          <w:rFonts w:ascii="Bahij Lotus" w:hAnsi="Bahij Lotus" w:cs="Bahij Lotus"/>
          <w:b/>
          <w:bCs/>
          <w:spacing w:val="-4"/>
          <w:sz w:val="30"/>
          <w:szCs w:val="30"/>
          <w:rtl/>
          <w:lang w:val="en-GB"/>
        </w:rPr>
        <w:t xml:space="preserve">مذكّرات خير الدّين </w:t>
      </w:r>
      <w:proofErr w:type="spellStart"/>
      <w:r w:rsidRPr="004115E6">
        <w:rPr>
          <w:rFonts w:ascii="Bahij Lotus" w:hAnsi="Bahij Lotus" w:cs="Bahij Lotus"/>
          <w:b/>
          <w:bCs/>
          <w:spacing w:val="-4"/>
          <w:sz w:val="30"/>
          <w:szCs w:val="30"/>
          <w:rtl/>
          <w:lang w:val="en-GB"/>
        </w:rPr>
        <w:t>بربروس</w:t>
      </w:r>
      <w:proofErr w:type="spellEnd"/>
      <w:r w:rsidRPr="004115E6">
        <w:rPr>
          <w:rFonts w:ascii="Bahij Lotus" w:hAnsi="Bahij Lotus" w:cs="Bahij Lotus"/>
          <w:spacing w:val="-4"/>
          <w:sz w:val="30"/>
          <w:szCs w:val="30"/>
          <w:rtl/>
          <w:lang w:val="en-GB"/>
        </w:rPr>
        <w:t>. ترجمة د. محمّد درّاج. الأصالة للنشر والتوزيع، الجزائر، 2010</w:t>
      </w:r>
      <w:r w:rsidRPr="004115E6">
        <w:rPr>
          <w:rFonts w:ascii="Bahij Lotus" w:hAnsi="Bahij Lotus" w:cs="Bahij Lotus" w:hint="cs"/>
          <w:spacing w:val="-4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lastRenderedPageBreak/>
        <w:t xml:space="preserve">-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 xml:space="preserve">بن زرفة، أبو عبد الله بن عبد الرحمان،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val="en-GB" w:bidi="ar-DZ"/>
        </w:rPr>
        <w:t xml:space="preserve">الرحلة القمرية </w:t>
      </w:r>
      <w:r w:rsidRPr="004115E6">
        <w:rPr>
          <w:rFonts w:ascii="Bahij Lotus" w:hAnsi="Bahij Lotus" w:cs="Bahij Lotus" w:hint="cs"/>
          <w:b/>
          <w:bCs/>
          <w:spacing w:val="-2"/>
          <w:sz w:val="30"/>
          <w:szCs w:val="30"/>
          <w:rtl/>
          <w:lang w:val="en-GB" w:bidi="ar-DZ"/>
        </w:rPr>
        <w:t>ﰲ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val="en-GB" w:bidi="ar-DZ"/>
        </w:rPr>
        <w:t xml:space="preserve"> السيرة المحمدية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، ج. 2، تحقيق مختار حساني، مخبر المخطوطات، الجزائر، 2002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 xml:space="preserve">-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بن العطّار، أحمد بن المبارك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>.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 xml:space="preserve">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val="en-GB" w:bidi="ar-DZ"/>
        </w:rPr>
        <w:t>تاريخ بلد قسنطينة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، تحقيق وتعليق وتقديم عبد الله حمادي، دار الفائز، قسنطينة، 2011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 xml:space="preserve">-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بن يوسف، الشيخ الصّغير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>.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 xml:space="preserve">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val="en-GB" w:bidi="ar-DZ"/>
        </w:rPr>
        <w:t>المشرع الملكي في سلطنة أولاد علي تركي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 xml:space="preserve">، 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 xml:space="preserve">4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 xml:space="preserve">مج.، تقديم وتحقيق أحمد </w:t>
      </w:r>
      <w:proofErr w:type="spellStart"/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الطويلي</w:t>
      </w:r>
      <w:proofErr w:type="spellEnd"/>
      <w:r w:rsidRPr="004115E6">
        <w:rPr>
          <w:rFonts w:ascii="Bahij Lotus" w:hAnsi="Bahij Lotus" w:cs="Bahij Lotus"/>
          <w:spacing w:val="-2"/>
          <w:sz w:val="30"/>
          <w:szCs w:val="30"/>
          <w:rtl/>
          <w:lang w:val="en-GB" w:bidi="ar-DZ"/>
        </w:rPr>
        <w:t>، تونس، 2009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val="en-GB"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الجديري التلمساني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ابن رقية محمّد بن عبد الرحمن بن الجيلاني.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الزهرة النائرة فيما جرى في الجزائر حين أغارت عليها جنود الكفرة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. مخطوط بالمكتبة الوطنية الجزائرية، رقم 1626، 1194 هـ-1780م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الجديري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 ا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لتلمساني، محمّد بن رقية. "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الزهرة النائرة فيما جرى في الجزائر حين أغارت عليها جنود الكفرة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"، نشر سليم بابا أحمد، مجلة تاريخ وحضارة المغرب 3، 1967، 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ص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ص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. 2-32. 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الجزائري، محمّد بن ميمون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التحفة المرضية في الدولة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البكداشية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في بلاد الجزائر المحمية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تحقيق وتقديم محمّد بن عبد الكريم،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ش.و.ن.ت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.، الجزائر، 1972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3"/>
          <w:sz w:val="30"/>
          <w:szCs w:val="30"/>
          <w:lang w:bidi="ar-DZ"/>
        </w:rPr>
      </w:pP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ﭼﻠﺒﻲ</w:t>
      </w:r>
      <w:proofErr w:type="spellEnd"/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،</w:t>
      </w:r>
      <w:r w:rsidRPr="004115E6">
        <w:rPr>
          <w:rFonts w:ascii="Bahij Lotus" w:hAnsi="Bahij Lotus" w:cs="Bahij Lotus"/>
          <w:spacing w:val="-3"/>
          <w:sz w:val="30"/>
          <w:szCs w:val="30"/>
          <w:rtl/>
          <w:lang w:bidi="ar-DZ"/>
        </w:rPr>
        <w:t xml:space="preserve"> كاتب. </w:t>
      </w:r>
      <w:r w:rsidRPr="004115E6">
        <w:rPr>
          <w:rFonts w:ascii="Bahij Lotus" w:hAnsi="Bahij Lotus" w:cs="Bahij Lotus"/>
          <w:b/>
          <w:bCs/>
          <w:spacing w:val="-3"/>
          <w:sz w:val="30"/>
          <w:szCs w:val="30"/>
          <w:rtl/>
          <w:lang w:bidi="ar-DZ"/>
        </w:rPr>
        <w:t>تحفة الكبار في أسفار البحار</w:t>
      </w:r>
      <w:r w:rsidRPr="004115E6">
        <w:rPr>
          <w:rFonts w:ascii="Bahij Lotus" w:hAnsi="Bahij Lotus" w:cs="Bahij Lotus"/>
          <w:spacing w:val="-3"/>
          <w:sz w:val="30"/>
          <w:szCs w:val="30"/>
          <w:rtl/>
          <w:lang w:bidi="ar-DZ"/>
        </w:rPr>
        <w:t>. دار الطباعة المعمورة، القسطنطينية، 1141ﻫ/1724</w:t>
      </w:r>
      <w:proofErr w:type="gramStart"/>
      <w:r w:rsidRPr="004115E6">
        <w:rPr>
          <w:rFonts w:ascii="Bahij Lotus" w:hAnsi="Bahij Lotus" w:cs="Bahij Lotus"/>
          <w:spacing w:val="-3"/>
          <w:sz w:val="30"/>
          <w:szCs w:val="30"/>
          <w:rtl/>
          <w:lang w:bidi="ar-DZ"/>
        </w:rPr>
        <w:t>م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spacing w:val="-3"/>
          <w:sz w:val="30"/>
          <w:szCs w:val="30"/>
          <w:lang w:bidi="ar-DZ"/>
        </w:rPr>
        <w:t>)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باللغة</w:t>
      </w:r>
      <w:proofErr w:type="gramEnd"/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 xml:space="preserve"> العثمانية</w:t>
      </w:r>
      <w:r w:rsidRPr="004115E6">
        <w:rPr>
          <w:rFonts w:ascii="Bahij Lotus" w:hAnsi="Bahij Lotus" w:cs="Bahij Lotus"/>
          <w:spacing w:val="-3"/>
          <w:sz w:val="30"/>
          <w:szCs w:val="30"/>
          <w:lang w:bidi="ar-DZ"/>
        </w:rPr>
        <w:t>(</w:t>
      </w:r>
      <w:r w:rsidRPr="004115E6">
        <w:rPr>
          <w:rFonts w:ascii="Bahij Lotus" w:hAnsi="Bahij Lotus" w:cs="Bahij Lotus" w:hint="cs"/>
          <w:spacing w:val="-3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حسين خوجة،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ذيل بشائر أهل الإيمان بفتوحات آل عثمان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تحقيق وتقديم الطاهر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المعموري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الدار العربية للكتاب، تونس، 1975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حمدان بن عثمان خوجة،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المرآة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تقديم وترجمة محمّد العربي الزبيري، وزارة الثقافة، الجزائر، 2007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دوسون</w:t>
      </w:r>
      <w:proofErr w:type="spellEnd"/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مرادجه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نظام الحكم والإدارة في الدولة العثمانية في عهد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مرادجه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دوسون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. ترجمة وتقديم فيصل شيخ الأرض. رسالة أستاذية في العلوم، الجامعة الأمريكية، بيروت، 1942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 w:bidi="ar-DZ"/>
        </w:rPr>
        <w:t>الذهبي، شمس الدين محمّد بن أحمد</w:t>
      </w:r>
      <w:r w:rsidRPr="004115E6">
        <w:rPr>
          <w:rFonts w:ascii="Bahij Lotus" w:hAnsi="Bahij Lotus" w:cs="Bahij Lotus" w:hint="cs"/>
          <w:sz w:val="30"/>
          <w:szCs w:val="30"/>
          <w:rtl/>
          <w:lang w:val="en-GB"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val="en-GB"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 w:bidi="ar-DZ"/>
        </w:rPr>
        <w:t>سير أعلام النبلاء</w:t>
      </w:r>
      <w:r w:rsidRPr="004115E6">
        <w:rPr>
          <w:rFonts w:ascii="Bahij Lotus" w:hAnsi="Bahij Lotus" w:cs="Bahij Lotus"/>
          <w:sz w:val="30"/>
          <w:szCs w:val="30"/>
          <w:rtl/>
          <w:lang w:val="en-GB" w:bidi="ar-DZ"/>
        </w:rPr>
        <w:t xml:space="preserve">، تحقيق وتعليق شعيب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 w:bidi="ar-DZ"/>
        </w:rPr>
        <w:t>الأرنؤوط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 w:bidi="ar-DZ"/>
        </w:rPr>
        <w:t>، ج. 19، مؤسّسة الرسالة، بيروت، 1984</w:t>
      </w:r>
      <w:r w:rsidRPr="004115E6">
        <w:rPr>
          <w:rFonts w:ascii="Bahij Lotus" w:hAnsi="Bahij Lotus" w:cs="Bahij Lotus" w:hint="cs"/>
          <w:sz w:val="30"/>
          <w:szCs w:val="30"/>
          <w:rtl/>
          <w:lang w:val="en-GB"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GB"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الراشدي، أحمد بن محمّد بن علي بن سحنون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 xml:space="preserve">الثغر الجماني في ابتسام الثغر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الوهراني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، تحقيق وتقديم المهدي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البوعبدلي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الجزائر، 1973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val="en-GB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lastRenderedPageBreak/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الرعيني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القيرواني، محمّد بن أبي القاسم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GB"/>
        </w:rPr>
        <w:t>كتاب المؤنس في أخبار أفريقية وتونس</w:t>
      </w:r>
      <w:r w:rsidRPr="004115E6">
        <w:rPr>
          <w:rFonts w:ascii="Bahij Lotus" w:hAnsi="Bahij Lotus" w:cs="Bahij Lotus"/>
          <w:sz w:val="30"/>
          <w:szCs w:val="30"/>
          <w:rtl/>
          <w:lang w:val="en-GB"/>
        </w:rPr>
        <w:t>، مطبعة الدولة التونسية، تونس، 1870</w:t>
      </w:r>
      <w:r w:rsidRPr="004115E6">
        <w:rPr>
          <w:rFonts w:ascii="Bahij Lotus" w:hAnsi="Bahij Lotus" w:cs="Bahij Lotus" w:hint="cs"/>
          <w:sz w:val="30"/>
          <w:szCs w:val="30"/>
          <w:rtl/>
          <w:lang w:val="en-GB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GB"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الزهّار، أحمد الشريف.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مذك</w:t>
      </w:r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>ّ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رات الحاج أحمد الشريف الزهّار، نقيب أشراف الجزائر 1754-1830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تحقيق أحمد توفيق المدني، ط. 2، الشركة الوطنيّة للنشر والتوزيع، الجزائر، 1980.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الزياني، أبو القاسم.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البستان الظريف في دولة أولاد مولاي الشريف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دراسة وتحقيق رشيد الزاوية، ج. 1، مركز الدراسات والبحوث العلوية (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الريساني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)، الرباط، 1992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الزياني، محمّد بن يوسف. </w:t>
      </w:r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>دليل الحيران وأنيس السهران في أخبار مدينة وهران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. تقديم وتعليق المهدي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</w:rPr>
        <w:t>البوعبدلي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</w:rPr>
        <w:t>، الشركة الوطنيّة للنشر والتوزيع، الجزائر، 1979</w:t>
      </w:r>
      <w:r w:rsidRPr="004115E6">
        <w:rPr>
          <w:rFonts w:ascii="Bahij Lotus" w:hAnsi="Bahij Lotus" w:cs="Bahij Lotus" w:hint="cs"/>
          <w:sz w:val="30"/>
          <w:szCs w:val="30"/>
          <w:rtl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US"/>
        </w:rPr>
      </w:pPr>
      <w:r w:rsidRPr="004115E6">
        <w:rPr>
          <w:rFonts w:ascii="Bahij Lotus" w:hAnsi="Bahij Lotus" w:cs="Bahij Lotus" w:hint="cs"/>
          <w:sz w:val="30"/>
          <w:szCs w:val="30"/>
          <w:rtl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ا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ﻟﺴﺮّ</w:t>
      </w:r>
      <w:r w:rsidRPr="004115E6">
        <w:rPr>
          <w:rFonts w:ascii="Bahij Lotus" w:hAnsi="Bahij Lotus" w:cs="Bahij Lotus" w:hint="eastAsia"/>
          <w:sz w:val="30"/>
          <w:szCs w:val="30"/>
          <w:rtl/>
          <w:lang w:val="en-US"/>
        </w:rPr>
        <w:t>اج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التو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ﻧﺴﻲ</w:t>
      </w:r>
      <w:proofErr w:type="spellEnd"/>
      <w:r w:rsidRPr="004115E6">
        <w:rPr>
          <w:rFonts w:ascii="Bahij Lotus" w:hAnsi="Bahij Lotus" w:cs="Bahij Lotus" w:hint="eastAsia"/>
          <w:sz w:val="30"/>
          <w:szCs w:val="30"/>
          <w:rtl/>
          <w:lang w:val="en-US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محمّد بن محمّد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>الحلل السندسية في الأخبار التونسية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، 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 xml:space="preserve">3 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>مج.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مكتبة المسجد النبوي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ا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ﻟﺸﺮ</w:t>
      </w:r>
      <w:r w:rsidRPr="004115E6">
        <w:rPr>
          <w:rFonts w:ascii="Bahij Lotus" w:hAnsi="Bahij Lotus" w:cs="Bahij Lotus" w:hint="eastAsia"/>
          <w:sz w:val="30"/>
          <w:szCs w:val="30"/>
          <w:rtl/>
          <w:lang w:val="en-US"/>
        </w:rPr>
        <w:t>يف</w:t>
      </w:r>
      <w:proofErr w:type="spellEnd"/>
      <w:r w:rsidRPr="004115E6">
        <w:rPr>
          <w:rFonts w:ascii="Bahij Lotus" w:hAnsi="Bahij Lotus" w:cs="Bahij Lotus" w:hint="eastAsia"/>
          <w:sz w:val="30"/>
          <w:szCs w:val="30"/>
          <w:rtl/>
          <w:lang w:val="en-US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مخ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طوط رقم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900.19، 1194هـ 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- 1780 م.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val="en-US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السليماني</w:t>
      </w: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 أبو عبد الله الأعرج.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>تاريخ الجزائر بين قيام الدولة الفاطمية ونهاية ثورة الأمير عبد القادر، عن كتاب الشماريخ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>. تحقيق د. مختار حساني. المكتبة الوطنية الجزائرية، الجزائر، د.ت.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val="en-US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US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شالر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، وليام.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 xml:space="preserve">مذكّرات وليام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>شالر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>، قنصل أمريكا في الجزائر [1816</w:t>
      </w:r>
      <w:r w:rsidRPr="004115E6">
        <w:rPr>
          <w:rFonts w:ascii="Bahij Lotus" w:hAnsi="Bahij Lotus" w:cs="Bahij Lotus"/>
          <w:b/>
          <w:bCs/>
          <w:sz w:val="30"/>
          <w:szCs w:val="30"/>
        </w:rPr>
        <w:t>-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val="en-US"/>
        </w:rPr>
        <w:t>1824]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 xml:space="preserve">، تعريب وتعليق وتقديم إسماعيل العربي، الشركة الوطنيّة للنشر والتوزيع، الجزائر، 1982. 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val="en-US"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الشويحات</w:t>
      </w:r>
      <w:r w:rsidRPr="004115E6">
        <w:rPr>
          <w:rFonts w:ascii="Bahij Lotus" w:hAnsi="Bahij Lotus" w:cs="Bahij Lotus"/>
          <w:sz w:val="30"/>
          <w:szCs w:val="30"/>
          <w:rtl/>
        </w:rPr>
        <w:t>، عبد الله محمّد بن الحاج</w:t>
      </w:r>
      <w:r w:rsidRPr="004115E6">
        <w:rPr>
          <w:rFonts w:ascii="Bahij Lotus" w:hAnsi="Bahij Lotus" w:cs="Bahij Lotus"/>
          <w:sz w:val="30"/>
          <w:szCs w:val="30"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قانون مدينة الجزائر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مخ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طوط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sz w:val="30"/>
          <w:szCs w:val="30"/>
          <w:rtl/>
          <w:lang w:val="en-US"/>
        </w:rPr>
        <w:t>المكتبة الوطنية الجزائرية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رقم 1378</w:t>
      </w:r>
      <w:r w:rsidRPr="004115E6">
        <w:rPr>
          <w:rFonts w:ascii="Bahij Lotus" w:hAnsi="Bahij Lotus" w:cs="Bahij Lotus"/>
          <w:sz w:val="30"/>
          <w:szCs w:val="30"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الشويهد</w:t>
      </w:r>
      <w:proofErr w:type="spellEnd"/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عبد الله بن محمّد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قانون أسواق مدينة الجزائر (1107-1117هـ/1695-1705م)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تحقيق وتقديم وتعليق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ناصر الدين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سعيدوني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دار الغرب الإسلامي، بيروت، 2006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الضعيف الرباطي، محمّد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تاريخ الضعيف (تاريخ الدولة السعيدة)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تقديم وتحقيق أحمد العمّاري، دار المأثورات،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الرباط، 1986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طوريس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د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ﻳﻴﮕﻮ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دي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تاريخ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</w:t>
      </w:r>
      <w:r w:rsidRPr="004115E6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ﻟﺸﺮ</w:t>
      </w:r>
      <w:r w:rsidRPr="004115E6">
        <w:rPr>
          <w:rFonts w:ascii="Bahij Lotus" w:hAnsi="Bahij Lotus" w:cs="Bahij Lotus" w:hint="eastAsia"/>
          <w:b/>
          <w:bCs/>
          <w:sz w:val="30"/>
          <w:szCs w:val="30"/>
          <w:rtl/>
          <w:lang w:bidi="ar-DZ"/>
        </w:rPr>
        <w:t>فاء</w:t>
      </w:r>
      <w:proofErr w:type="spellEnd"/>
      <w:r w:rsidRPr="004115E6">
        <w:rPr>
          <w:rFonts w:ascii="Bahij Lotus" w:hAnsi="Bahij Lotus" w:cs="Bahij Lotus" w:hint="eastAsia"/>
          <w:sz w:val="30"/>
          <w:szCs w:val="30"/>
          <w:rtl/>
          <w:lang w:bidi="ar-DZ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ترجمه محمّد حجي ومحمّد الأخضر، الجمعية المغربية للتأليف والترجمة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وا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ﻟﻨﺸﺮ</w:t>
      </w:r>
      <w:proofErr w:type="spellEnd"/>
      <w:r w:rsidRPr="004115E6">
        <w:rPr>
          <w:rFonts w:ascii="Bahij Lotus" w:hAnsi="Bahij Lotus" w:cs="Bahij Lotus" w:hint="eastAsia"/>
          <w:sz w:val="30"/>
          <w:szCs w:val="30"/>
          <w:rtl/>
          <w:lang w:bidi="ar-DZ"/>
        </w:rPr>
        <w:t>،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الدار البيضاء، 1988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الغزال، أحمد بن المهدي.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نتيجة الاجتهاد في المهادنة والجهاد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تحقيق وتقديم إسماعيل العربي،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د.م.ج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.، الجزائر، 1984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lastRenderedPageBreak/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كاثكارت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جيمس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لياندر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مذكّرات أسير الداي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كاثكارت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، قنصل أمريكا في المغرب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ترجمة اسماعيل العربي، ديوان المطبوعات الجامعيّة، الجزائر، 1982</w:t>
      </w:r>
      <w:r w:rsidRPr="004115E6">
        <w:rPr>
          <w:rFonts w:ascii="Bahij Lotus" w:hAnsi="Bahij Lotus" w:cs="Bahij Lotus"/>
          <w:sz w:val="30"/>
          <w:szCs w:val="30"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مارمول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كربخال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إفريقيا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3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ج.، ترجمه محمّد حجي وآخرون، مكتبة المعارف، الرباط، 1984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المزاري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الآغا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بن عودة</w:t>
      </w:r>
      <w:r w:rsidRPr="004115E6">
        <w:rPr>
          <w:rFonts w:ascii="Bahij Lotus" w:hAnsi="Bahij Lotus" w:cs="Bahij Lotus"/>
          <w:sz w:val="30"/>
          <w:szCs w:val="30"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طلع سعد السعود في أخبار وهران والجزائر وإسبانيا وفرنسا إلى أواخر القرن التاسع عشر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. تحقيق ودراسة د. يحي بوعزيز، ج. 1، ط. 1، دار الغرب الإسلاميّ، بيروت، 1990.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pacing w:val="-2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مجهول،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تاريخ الدولة السعدية </w:t>
      </w:r>
      <w:proofErr w:type="spellStart"/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التكمدارتية</w:t>
      </w:r>
      <w:proofErr w:type="spellEnd"/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، تقديم وتحقيق عبد الرحيم </w:t>
      </w:r>
      <w:proofErr w:type="spellStart"/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بنحادة</w:t>
      </w:r>
      <w:proofErr w:type="spellEnd"/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 عيون المقالات، مراكش، 1994</w:t>
      </w: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مجهول،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تقييد يتضمن توليات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الباشات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من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محروصات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(كذا)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الجزاير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مخطوط بالمكتبة الوطنية الجزائرية، رقم 1639-1، 1223 ه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ـ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− 1809م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مجهول،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تاريخ أمراء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الجزاير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مخطوط المكتبة الوطنية الجزائر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ية،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رقم 1639-2، 1745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</w:rPr>
      </w:pPr>
      <w:r w:rsidRPr="004115E6">
        <w:rPr>
          <w:rFonts w:ascii="Bahij Lotus" w:hAnsi="Bahij Lotus" w:cs="Bahij Lotus" w:hint="cs"/>
          <w:sz w:val="30"/>
          <w:szCs w:val="30"/>
          <w:rtl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مجهول. </w:t>
      </w:r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>كتاب غزوات عرّوج وخير الدّين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. تعليق نور الدين عبد القادر. المطبعة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</w:rPr>
        <w:t>الثعالبية</w:t>
      </w:r>
      <w:proofErr w:type="spellEnd"/>
      <w:r w:rsidRPr="004115E6">
        <w:rPr>
          <w:rFonts w:ascii="Bahij Lotus" w:hAnsi="Bahij Lotus" w:cs="Bahij Lotus"/>
          <w:sz w:val="30"/>
          <w:szCs w:val="30"/>
          <w:rtl/>
        </w:rPr>
        <w:t xml:space="preserve"> والمكتبة الأدبية، الجزائر، 1934</w:t>
      </w:r>
      <w:r w:rsidRPr="004115E6">
        <w:rPr>
          <w:rFonts w:ascii="Bahij Lotus" w:hAnsi="Bahij Lotus" w:cs="Bahij Lotus" w:hint="cs"/>
          <w:sz w:val="30"/>
          <w:szCs w:val="30"/>
          <w:rtl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</w:rPr>
      </w:pPr>
      <w:r w:rsidRPr="004115E6">
        <w:rPr>
          <w:rFonts w:ascii="Bahij Lotus" w:hAnsi="Bahij Lotus" w:cs="Bahij Lotus" w:hint="cs"/>
          <w:sz w:val="30"/>
          <w:szCs w:val="30"/>
          <w:rtl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مجهول. </w:t>
      </w:r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 xml:space="preserve">كتاب في تاريخ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</w:rPr>
        <w:t>الجزاير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</w:rPr>
        <w:t>، مخطوط المكتبة الوطنيّة رقم 1638، الجزائر، 1246 ﻫ</w:t>
      </w:r>
      <w:r w:rsidRPr="004115E6">
        <w:rPr>
          <w:rFonts w:ascii="Bahij Lotus" w:hAnsi="Bahij Lotus" w:cs="Bahij Lotus" w:hint="cs"/>
          <w:sz w:val="30"/>
          <w:szCs w:val="30"/>
          <w:rtl/>
        </w:rPr>
        <w:t xml:space="preserve"> - 1830 م</w:t>
      </w:r>
      <w:r w:rsidRPr="004115E6">
        <w:rPr>
          <w:rFonts w:ascii="Bahij Lotus" w:hAnsi="Bahij Lotus" w:cs="Bahij Lotus"/>
          <w:sz w:val="30"/>
          <w:szCs w:val="30"/>
          <w:rtl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مجهول،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هذا تاريخ مجيء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الصبنيول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في المرة الثانية إلى الجزائر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المكتبة الوطنية الجزائرية، مخطوط رقم 2285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، 1197هـ-1783م.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مجهول،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تاريخ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بايات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قسنطينة. المرحلة الأخيرة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تحقيق مختار حساني، منشورات دحلب، 1999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المرادي، سيّد علي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غزوات خير الدين باشا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مج. 2، المكتبة الوطنية الفرنسية، المخطوطات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ﻟﺸﺮ</w:t>
      </w:r>
      <w:r w:rsidRPr="004115E6">
        <w:rPr>
          <w:rFonts w:ascii="Bahij Lotus" w:hAnsi="Bahij Lotus" w:cs="Bahij Lotus" w:hint="eastAsia"/>
          <w:sz w:val="30"/>
          <w:szCs w:val="30"/>
          <w:rtl/>
          <w:lang w:bidi="ar-DZ"/>
        </w:rPr>
        <w:t>قية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رقم 1186،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الآستانة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</w:t>
      </w:r>
      <w:proofErr w:type="gram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1546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sz w:val="30"/>
          <w:szCs w:val="30"/>
          <w:lang w:bidi="ar-DZ"/>
        </w:rPr>
        <w:t>)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باللغة</w:t>
      </w:r>
      <w:proofErr w:type="gramEnd"/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العثمانية</w:t>
      </w:r>
      <w:r w:rsidRPr="004115E6">
        <w:rPr>
          <w:rFonts w:ascii="Bahij Lotus" w:hAnsi="Bahij Lotus" w:cs="Bahij Lotus"/>
          <w:sz w:val="30"/>
          <w:szCs w:val="30"/>
          <w:lang w:bidi="ar-DZ"/>
        </w:rPr>
        <w:t>(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المسعودي، محمّد الباجي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الخلاصة النقية في أمراء إفريقية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ط. 2، بيكار وشركائه، تونس، 1323 هـ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-1905م.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المشرفي، محمّد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الحلل البهية في ملوك الدولة العلوية وعدّ بعض مفاخرها غير المتناهية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دراسة وتحقيق إدريس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بوهليلة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ج. 2، وزارة الأوقاف</w:t>
      </w:r>
      <w:r w:rsidRPr="004115E6">
        <w:rPr>
          <w:sz w:val="30"/>
          <w:szCs w:val="30"/>
          <w:rtl/>
        </w:rPr>
        <w:t xml:space="preserve">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والشؤون الإسلامية، الرباط، 2005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E1267E" w:rsidRPr="004115E6" w:rsidRDefault="00E1267E" w:rsidP="00285A81">
      <w:pPr>
        <w:bidi/>
        <w:spacing w:line="276" w:lineRule="auto"/>
        <w:jc w:val="both"/>
        <w:outlineLvl w:val="0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المنداسيّ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سعيد بن عبد الله.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الديوان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تحقيق وتقديم رابح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بونار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الجزائر، 1976. 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lastRenderedPageBreak/>
        <w:t>- ا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 xml:space="preserve">لناصريّ، أبو العبّاس أحمد بن خالد. </w:t>
      </w:r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كتاب </w:t>
      </w:r>
      <w:proofErr w:type="spellStart"/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>الإستقصا</w:t>
      </w:r>
      <w:proofErr w:type="spellEnd"/>
      <w:r w:rsidRPr="004115E6">
        <w:rPr>
          <w:rFonts w:ascii="Bahij Lotus" w:hAnsi="Bahij Lotus" w:cs="Bahij Lotus"/>
          <w:b/>
          <w:bCs/>
          <w:spacing w:val="-2"/>
          <w:sz w:val="30"/>
          <w:szCs w:val="30"/>
          <w:rtl/>
          <w:lang w:bidi="ar-DZ"/>
        </w:rPr>
        <w:t xml:space="preserve"> لأخبار دول المغرب الأقصى</w:t>
      </w:r>
      <w:r w:rsidRPr="004115E6">
        <w:rPr>
          <w:rFonts w:ascii="Bahij Lotus" w:hAnsi="Bahij Lotus" w:cs="Bahij Lotus"/>
          <w:spacing w:val="-2"/>
          <w:sz w:val="30"/>
          <w:szCs w:val="30"/>
          <w:rtl/>
          <w:lang w:bidi="ar-DZ"/>
        </w:rPr>
        <w:t>،</w:t>
      </w:r>
      <w:r w:rsidRPr="004115E6">
        <w:rPr>
          <w:rFonts w:ascii="Bahij Lotus" w:hAnsi="Bahij Lotus" w:cs="Bahij Lotus"/>
          <w:spacing w:val="-2"/>
          <w:sz w:val="30"/>
          <w:szCs w:val="30"/>
          <w:rtl/>
        </w:rPr>
        <w:t xml:space="preserve"> تحقيق و</w:t>
      </w:r>
      <w:r w:rsidR="00DE2C2D" w:rsidRPr="004115E6">
        <w:rPr>
          <w:rFonts w:ascii="Bahij Lotus" w:hAnsi="Bahij Lotus" w:cs="Bahij Lotus"/>
          <w:spacing w:val="-2"/>
          <w:sz w:val="30"/>
          <w:szCs w:val="30"/>
          <w:rtl/>
        </w:rPr>
        <w:t>تعليق جعفر و</w:t>
      </w:r>
      <w:r w:rsidRPr="004115E6">
        <w:rPr>
          <w:rFonts w:ascii="Bahij Lotus" w:hAnsi="Bahij Lotus" w:cs="Bahij Lotus"/>
          <w:spacing w:val="-2"/>
          <w:sz w:val="30"/>
          <w:szCs w:val="30"/>
          <w:rtl/>
        </w:rPr>
        <w:t>محمّد</w:t>
      </w:r>
      <w:r w:rsidRPr="004115E6">
        <w:rPr>
          <w:rFonts w:ascii="Bahij Lotus" w:hAnsi="Bahij Lotus" w:cs="Bahij Lotus"/>
          <w:sz w:val="30"/>
          <w:szCs w:val="30"/>
          <w:rtl/>
        </w:rPr>
        <w:t xml:space="preserve"> الناصريّ،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9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ج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3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م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ج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.، دار الكتاب، الدار البيضاء، 1956.</w:t>
      </w:r>
    </w:p>
    <w:p w:rsidR="00E1267E" w:rsidRPr="004115E6" w:rsidRDefault="00E1267E" w:rsidP="00285A81">
      <w:pPr>
        <w:bidi/>
        <w:spacing w:line="276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هابنسترايت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، ج. أو. </w:t>
      </w:r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رحلة العالم الألماني ج. أو. </w:t>
      </w:r>
      <w:proofErr w:type="spellStart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هابنسترايت</w:t>
      </w:r>
      <w:proofErr w:type="spellEnd"/>
      <w:r w:rsidRPr="004115E6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إلى الجزائر وتونس وطرابلس (1145هـ - 1732م)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ترجمة و</w:t>
      </w:r>
      <w:r w:rsidR="00DE2C2D" w:rsidRPr="004115E6">
        <w:rPr>
          <w:rFonts w:ascii="Bahij Lotus" w:hAnsi="Bahij Lotus" w:cs="Bahij Lotus"/>
          <w:sz w:val="30"/>
          <w:szCs w:val="30"/>
          <w:rtl/>
          <w:lang w:bidi="ar-DZ"/>
        </w:rPr>
        <w:t>تقديم و</w:t>
      </w:r>
      <w:r w:rsidRPr="004115E6">
        <w:rPr>
          <w:rFonts w:ascii="Bahij Lotus" w:hAnsi="Bahij Lotus" w:cs="Bahij Lotus"/>
          <w:sz w:val="30"/>
          <w:szCs w:val="30"/>
          <w:rtl/>
          <w:lang w:bidi="ar-DZ"/>
        </w:rPr>
        <w:t xml:space="preserve">تعليق ناصر الدين </w:t>
      </w:r>
      <w:proofErr w:type="spellStart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سعيدوني</w:t>
      </w:r>
      <w:proofErr w:type="spellEnd"/>
      <w:r w:rsidRPr="004115E6">
        <w:rPr>
          <w:rFonts w:ascii="Bahij Lotus" w:hAnsi="Bahij Lotus" w:cs="Bahij Lotus"/>
          <w:sz w:val="30"/>
          <w:szCs w:val="30"/>
          <w:rtl/>
          <w:lang w:bidi="ar-DZ"/>
        </w:rPr>
        <w:t>، دار الغرب الإسلامي، تونس، 2007</w:t>
      </w:r>
      <w:r w:rsidRPr="004115E6"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F1CD4" w:rsidRDefault="00E1267E" w:rsidP="00285A81">
      <w:pPr>
        <w:spacing w:line="276" w:lineRule="auto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bookmarkEnd w:id="0"/>
    </w:p>
    <w:sectPr w:rsidR="002F1C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3D" w:rsidRDefault="00D3743D" w:rsidP="00DE2C2D">
      <w:r>
        <w:separator/>
      </w:r>
    </w:p>
  </w:endnote>
  <w:endnote w:type="continuationSeparator" w:id="0">
    <w:p w:rsidR="00D3743D" w:rsidRDefault="00D3743D" w:rsidP="00DE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3D" w:rsidRDefault="00D3743D" w:rsidP="00DE2C2D">
      <w:r>
        <w:separator/>
      </w:r>
    </w:p>
  </w:footnote>
  <w:footnote w:type="continuationSeparator" w:id="0">
    <w:p w:rsidR="00D3743D" w:rsidRDefault="00D3743D" w:rsidP="00DE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C2D" w:rsidRDefault="004115E6" w:rsidP="004115E6">
    <w:pPr>
      <w:pStyle w:val="En-tte"/>
      <w:rPr>
        <w:lang w:bidi="ar-DZ"/>
      </w:rPr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2022-2023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7E"/>
    <w:rsid w:val="000D2D4C"/>
    <w:rsid w:val="00261EC7"/>
    <w:rsid w:val="00285A81"/>
    <w:rsid w:val="004115E6"/>
    <w:rsid w:val="008A3DD9"/>
    <w:rsid w:val="00D3743D"/>
    <w:rsid w:val="00DE2C2D"/>
    <w:rsid w:val="00E1267E"/>
    <w:rsid w:val="00F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813A-084D-46D2-A8C3-E6B40FC5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stancename">
    <w:name w:val="instancename"/>
    <w:basedOn w:val="Policepardfaut"/>
    <w:rsid w:val="00DE2C2D"/>
  </w:style>
  <w:style w:type="paragraph" w:styleId="En-tte">
    <w:name w:val="header"/>
    <w:basedOn w:val="Normal"/>
    <w:link w:val="En-tteCar"/>
    <w:uiPriority w:val="99"/>
    <w:unhideWhenUsed/>
    <w:rsid w:val="00DE2C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2C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2C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2C2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3</cp:revision>
  <dcterms:created xsi:type="dcterms:W3CDTF">2019-12-06T23:11:00Z</dcterms:created>
  <dcterms:modified xsi:type="dcterms:W3CDTF">2022-11-29T05:17:00Z</dcterms:modified>
</cp:coreProperties>
</file>