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6A" w:rsidRPr="00FA3D6A" w:rsidRDefault="00D820E4" w:rsidP="00FA3D6A">
      <w:pPr>
        <w:bidi/>
        <w:spacing w:after="0" w:line="240" w:lineRule="auto"/>
        <w:rPr>
          <w:rFonts w:ascii="Bahij Lotus" w:hAnsi="Bahij Lotus" w:cs="Bahij Lotus"/>
          <w:b/>
          <w:bCs/>
          <w:spacing w:val="1"/>
          <w:sz w:val="28"/>
          <w:szCs w:val="28"/>
          <w:rtl/>
        </w:rPr>
      </w:pPr>
      <w:r>
        <w:rPr>
          <w:rFonts w:ascii="Bahij Lotus" w:hAnsi="Bahij Lotus" w:cs="Bahij Lotus" w:hint="cs"/>
          <w:b/>
          <w:bCs/>
          <w:spacing w:val="1"/>
          <w:sz w:val="28"/>
          <w:szCs w:val="28"/>
          <w:rtl/>
        </w:rPr>
        <w:t xml:space="preserve"> </w:t>
      </w:r>
    </w:p>
    <w:p w:rsidR="00FA3D6A" w:rsidRPr="00FA3D6A" w:rsidRDefault="00FA3D6A" w:rsidP="00FA3D6A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1"/>
          <w:sz w:val="12"/>
          <w:szCs w:val="12"/>
          <w:rtl/>
        </w:rPr>
      </w:pPr>
    </w:p>
    <w:p w:rsidR="00B87775" w:rsidRPr="002D09A0" w:rsidRDefault="00B87775" w:rsidP="002D09A0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</w:pP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قواعد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ﭬﺎ</w:t>
      </w:r>
      <w:bookmarkStart w:id="0" w:name="_GoBack"/>
      <w:bookmarkEnd w:id="0"/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ن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دالن</w:t>
      </w:r>
      <w:r w:rsidR="00C54A6C"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 xml:space="preserve"> (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</w:rPr>
        <w:t>Van Dalen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)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</w:rPr>
        <w:t xml:space="preserve"> </w:t>
      </w:r>
      <w:r w:rsid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بخصوص المصادر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التاريخية</w:t>
      </w:r>
    </w:p>
    <w:p w:rsidR="002D09A0" w:rsidRDefault="002D09A0" w:rsidP="00C54A6C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2D09A0" w:rsidRPr="002D09A0" w:rsidRDefault="002D09A0" w:rsidP="002D09A0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2D09A0" w:rsidRPr="002D09A0" w:rsidRDefault="002D09A0" w:rsidP="002D09A0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B87775" w:rsidRPr="002D09A0" w:rsidRDefault="00B87775" w:rsidP="002D09A0">
      <w:pPr>
        <w:bidi/>
        <w:spacing w:after="0"/>
        <w:ind w:firstLine="425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لقد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وضع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</w:rPr>
        <w:t xml:space="preserve"> </w:t>
      </w:r>
      <w:r w:rsidR="00C54A6C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ﭬﺎن</w:t>
      </w:r>
      <w:r w:rsidR="00C54A6C"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="00C54A6C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دالن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بعض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القواعد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المبادئ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="002D09A0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يتوجّب اتّباعها في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عملية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نقد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تحليل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المصادر</w:t>
      </w:r>
      <w:r w:rsidRPr="002D09A0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التاريخية</w:t>
      </w:r>
      <w:r w:rsid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، و الّتي نلخّصها فيما يلي</w:t>
      </w:r>
      <w:r w:rsidRP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: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>1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تقرأ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الوثائق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القديمة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مفاهيم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أفكار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أزمنة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لاحقة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متأخّرة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مثال :</w:t>
      </w:r>
      <w:r w:rsidR="001874C7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إضفاء مفهوم "الوطنية" على الأهالي و الأتراك الجزائريين الّذين استبسلوا في الدفاع عن البلاد في عدّة مناسبات.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>2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تتسرّع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الحكم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المؤلّف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بأنّه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يجهل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أحداثاً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معيّنة،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لأنّه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يذكرها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؛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عدم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ذكر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الأحداث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الوثائق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دليل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عدم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وقوعها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إغفال أو تغافل حمدان بن عثمان خوجة الإشارة في مؤلّفه "المرآة" إلى إشاعة وجود المبعوث العثماني طاهر باشا في المعسكر الفرنسي بسيدي فرج، ثمّ ب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سطه والي.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3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 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تبالغ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تقدير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قيمة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المصدر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امنح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قيمته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العلمية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الحقيقة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مثال :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  <w:r w:rsidR="002C77ED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رغم ما يحتويه كتاب "المرآة" من معلومات قيّمة</w:t>
      </w:r>
      <w:r w:rsidR="00317E15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و ما اتّسم به مؤلّفه من نوايا صادقة حين تحريره، إلاّ أنّ انتماء هذا الأخير لتحزّب الحضر - الّذي كان له دور ملتبس خلال الحملة الفرنسية على الجزائر - يجعلنا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لا ننساق إلى تصديق كلّ ما ورد فيه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"بأعين مغمضة"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4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تكتف</w:t>
      </w:r>
      <w:r w:rsidR="005B6B2A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ِ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بمصدر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واحد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فقط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-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كان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قاطع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الدلالة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الصدق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-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حاول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كلّما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أمكن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تأييده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بمصادر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أخرى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مذكّرات سيمون بفايفر - الّتي نشرت تحت عنوان "مذكّرات جزائرية عشية الاحتلال" 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-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من أصدق المصادر الأجنبية الّتي كتبت عن الجزائر العثمانية، غير أنّه يتوجّب علينا مقارنتها 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مثلاً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بمذكّرات أحمد شريف الزهّار، لتك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ت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مل لدينا الصورة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بعض الشيء عن الظروف الّتي كانت سائدة بالعاصمة قبيل سقوطها في أيدي الفرنسيين.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lastRenderedPageBreak/>
        <w:t xml:space="preserve">5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إن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الأخطاء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المتماثلة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مصدرين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أكثر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تدلّ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نقلها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بعضها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البعض،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نقلها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مصدر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واحد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مشترك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6973B9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أطلقت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المصادر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الفرنسية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- و من ضمنها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  <w:lang w:bidi="ar-DZ"/>
        </w:rPr>
        <w:t xml:space="preserve">جان ميشال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فنتور دي باراديس، الّذي نشر تأليفه تحت عنوان "</w:t>
      </w:r>
      <w:r w:rsidR="006A1831">
        <w:rPr>
          <w:rFonts w:ascii="Bahij Lotus" w:hAnsi="Bahij Lotus" w:cs="Bahij Lotus"/>
          <w:color w:val="262626" w:themeColor="text1" w:themeTint="D9"/>
          <w:sz w:val="30"/>
          <w:szCs w:val="30"/>
        </w:rPr>
        <w:t>Alger au XVIII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vertAlign w:val="superscript"/>
        </w:rPr>
        <w:t>ème</w:t>
      </w:r>
      <w:r w:rsidR="006A1831">
        <w:rPr>
          <w:rFonts w:ascii="Bahij Lotus" w:hAnsi="Bahij Lotus" w:cs="Bahij Lotus"/>
          <w:color w:val="262626" w:themeColor="text1" w:themeTint="D9"/>
          <w:sz w:val="30"/>
          <w:szCs w:val="30"/>
        </w:rPr>
        <w:t xml:space="preserve"> siècle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" -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على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تمرّد سنة 1754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الّذي تمّ خلاله اغتيال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الداي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محمّد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طورطو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اسم "تمرّد الأرناؤوط" و على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زعيم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المتمرّدين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اسم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أوزون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علي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خط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أً - عوضًا عن أوزون محمّد - ؛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يعود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ذلك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إلى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الخلط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الّذي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وقع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عند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مراجعة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التقارير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القنصلية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بين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حادث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اغتيال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الداي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المذكور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مؤامرة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الأرناؤوط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الّتي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وقعت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بطرابلس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قبل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ثلاث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سنوات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في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عهد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محمّد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باشا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قرمانلي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-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داي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طرابلس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الغرب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6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تعتبر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الوقائع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يتفق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عليها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الشهود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69185F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(المصادر)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الأكثر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كفاية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حجّة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مقبولة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69185F" w:rsidRDefault="0069185F" w:rsidP="0069185F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فرار إبراهيم آغا في غضون الساعة الأخيرة من معركة أسطه والي (19 يونيو 1830)، الّذي نوّهت به المصادر المحلّية.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7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يجب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تأييد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تدعيم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الشهادات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والأدل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الرسمية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الشفوية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الكتابية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بالشهادات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الأدلّة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غير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الرسمية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كلّما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أمكن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69185F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قصة الجاسوس المغطّس جيرونيمو، الّتي وردت في بعض المصادر التاريخية، و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ثبتها بشكل قطعي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اكتشاف جثّة عند هدم أساسات أحد الأبراج بباب الوادي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  <w:rtl/>
        </w:rPr>
        <w:t>8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اعترف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بنسبية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الوثيقة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فقد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تكون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دليلا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قوي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كافي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نقطة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معي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نقطة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نقاط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ٍ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أخرى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>.</w:t>
      </w:r>
      <w:r w:rsid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</w:p>
    <w:p w:rsidR="002D09A0" w:rsidRPr="002D09A0" w:rsidRDefault="002D09A0" w:rsidP="00BB5548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BB5548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في كتابه "تاريخ ملوك الجزائر"،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نلحظ دقّة دييغو دي هايدو في توثيق الأحداث </w:t>
      </w:r>
      <w:r w:rsidR="0088789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الجارية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خلال فترة أسره بالجزائر (1578-1581)، بينما نسجّل </w:t>
      </w:r>
      <w:r w:rsidR="00BB5548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تناقصها كلّما تقدّمنا أو تأخرنا عن تلك الفترة ؛ فعلى سبيل المثال، يؤرّخ للحملة الإسبانية الثانية بقيادة هيغو دي منكادا على الجزائر في عام 1518، بينما توجد مراسلات إسبانية تثبت أنّها وقعت في صائفة 1519.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440870" w:rsidRDefault="00440870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2D09A0" w:rsidRDefault="002D09A0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3E3AD2" w:rsidRPr="002A7143" w:rsidRDefault="003E3AD2" w:rsidP="002A7143">
      <w:pPr>
        <w:bidi/>
        <w:rPr>
          <w:rFonts w:ascii="Bahij Lotus" w:hAnsi="Bahij Lotus" w:cs="Bahij Lotus"/>
          <w:sz w:val="28"/>
          <w:szCs w:val="28"/>
        </w:rPr>
      </w:pPr>
    </w:p>
    <w:sectPr w:rsidR="003E3AD2" w:rsidRPr="002A71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CB" w:rsidRDefault="003F0ACB" w:rsidP="00D820E4">
      <w:pPr>
        <w:spacing w:after="0" w:line="240" w:lineRule="auto"/>
      </w:pPr>
      <w:r>
        <w:separator/>
      </w:r>
    </w:p>
  </w:endnote>
  <w:endnote w:type="continuationSeparator" w:id="0">
    <w:p w:rsidR="003F0ACB" w:rsidRDefault="003F0ACB" w:rsidP="00D8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CB" w:rsidRDefault="003F0ACB" w:rsidP="00D820E4">
      <w:pPr>
        <w:spacing w:after="0" w:line="240" w:lineRule="auto"/>
      </w:pPr>
      <w:r>
        <w:separator/>
      </w:r>
    </w:p>
  </w:footnote>
  <w:footnote w:type="continuationSeparator" w:id="0">
    <w:p w:rsidR="003F0ACB" w:rsidRDefault="003F0ACB" w:rsidP="00D8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4" w:rsidRPr="00D820E4" w:rsidRDefault="00D820E4" w:rsidP="00D820E4">
    <w:pPr>
      <w:pStyle w:val="En-tte"/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43E8"/>
    <w:multiLevelType w:val="hybridMultilevel"/>
    <w:tmpl w:val="BAFA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43"/>
    <w:rsid w:val="00015E54"/>
    <w:rsid w:val="000479F3"/>
    <w:rsid w:val="000A541F"/>
    <w:rsid w:val="000C46B5"/>
    <w:rsid w:val="00133480"/>
    <w:rsid w:val="00157C64"/>
    <w:rsid w:val="001874C7"/>
    <w:rsid w:val="001E62CD"/>
    <w:rsid w:val="002414C6"/>
    <w:rsid w:val="002A7143"/>
    <w:rsid w:val="002C77ED"/>
    <w:rsid w:val="002D09A0"/>
    <w:rsid w:val="00315E89"/>
    <w:rsid w:val="00317E15"/>
    <w:rsid w:val="00351EE9"/>
    <w:rsid w:val="003E3AD2"/>
    <w:rsid w:val="003F0ACB"/>
    <w:rsid w:val="003F10ED"/>
    <w:rsid w:val="00440870"/>
    <w:rsid w:val="00460185"/>
    <w:rsid w:val="00520062"/>
    <w:rsid w:val="005B6B2A"/>
    <w:rsid w:val="00626464"/>
    <w:rsid w:val="0069185F"/>
    <w:rsid w:val="006973B9"/>
    <w:rsid w:val="006A1831"/>
    <w:rsid w:val="007E1C25"/>
    <w:rsid w:val="008453B7"/>
    <w:rsid w:val="0088789A"/>
    <w:rsid w:val="008D4EFA"/>
    <w:rsid w:val="00971A8A"/>
    <w:rsid w:val="009A1864"/>
    <w:rsid w:val="009D179B"/>
    <w:rsid w:val="009D5C92"/>
    <w:rsid w:val="00A50C3B"/>
    <w:rsid w:val="00A77792"/>
    <w:rsid w:val="00A97C61"/>
    <w:rsid w:val="00B87775"/>
    <w:rsid w:val="00B878AF"/>
    <w:rsid w:val="00BB5548"/>
    <w:rsid w:val="00C17AB4"/>
    <w:rsid w:val="00C34E57"/>
    <w:rsid w:val="00C54A6C"/>
    <w:rsid w:val="00CD6900"/>
    <w:rsid w:val="00D820E4"/>
    <w:rsid w:val="00DE631F"/>
    <w:rsid w:val="00EC4867"/>
    <w:rsid w:val="00EF5109"/>
    <w:rsid w:val="00F426B0"/>
    <w:rsid w:val="00FA3D6A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DFCA"/>
  <w15:chartTrackingRefBased/>
  <w15:docId w15:val="{74A71505-3A43-41E6-AF6A-FE33037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143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1E62CD"/>
  </w:style>
  <w:style w:type="paragraph" w:styleId="Paragraphedeliste">
    <w:name w:val="List Paragraph"/>
    <w:basedOn w:val="Normal"/>
    <w:uiPriority w:val="34"/>
    <w:qFormat/>
    <w:rsid w:val="00FD09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E4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D8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6527">
          <w:marLeft w:val="0"/>
          <w:marRight w:val="0"/>
          <w:marTop w:val="750"/>
          <w:marBottom w:val="750"/>
          <w:divBdr>
            <w:top w:val="single" w:sz="8" w:space="15" w:color="EEEEEE"/>
            <w:left w:val="single" w:sz="8" w:space="15" w:color="EEEEEE"/>
            <w:bottom w:val="single" w:sz="8" w:space="15" w:color="EEEEEE"/>
            <w:right w:val="single" w:sz="8" w:space="15" w:color="EEEEEE"/>
          </w:divBdr>
        </w:div>
      </w:divsChild>
    </w:div>
    <w:div w:id="169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01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98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712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06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13</cp:revision>
  <dcterms:created xsi:type="dcterms:W3CDTF">2021-03-02T18:07:00Z</dcterms:created>
  <dcterms:modified xsi:type="dcterms:W3CDTF">2022-11-29T05:26:00Z</dcterms:modified>
</cp:coreProperties>
</file>