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F5" w:rsidRDefault="009838F5" w:rsidP="00E45616">
      <w:pPr>
        <w:bidi/>
        <w:spacing w:after="120"/>
        <w:jc w:val="center"/>
        <w:rPr>
          <w:rFonts w:ascii="Bahij Lotus" w:hAnsi="Bahij Lotus" w:cs="Bahij Lotus"/>
          <w:b/>
          <w:bCs/>
          <w:spacing w:val="1"/>
          <w:sz w:val="28"/>
          <w:szCs w:val="28"/>
          <w:rtl/>
        </w:rPr>
      </w:pPr>
    </w:p>
    <w:p w:rsidR="00E45616" w:rsidRPr="00FA3D6A" w:rsidRDefault="00E45616" w:rsidP="00E45616">
      <w:pPr>
        <w:bidi/>
        <w:spacing w:after="120"/>
        <w:jc w:val="center"/>
        <w:rPr>
          <w:rFonts w:ascii="Bahij Lotus" w:hAnsi="Bahij Lotus" w:cs="Bahij Lotus"/>
          <w:b/>
          <w:bCs/>
          <w:spacing w:val="1"/>
          <w:sz w:val="12"/>
          <w:szCs w:val="12"/>
          <w:rtl/>
        </w:rPr>
      </w:pPr>
    </w:p>
    <w:p w:rsidR="009838F5" w:rsidRPr="00FA3D6A" w:rsidRDefault="009838F5" w:rsidP="00E45616">
      <w:pPr>
        <w:bidi/>
        <w:spacing w:after="120"/>
        <w:jc w:val="center"/>
        <w:rPr>
          <w:rFonts w:ascii="Bahij Lotus" w:hAnsi="Bahij Lotus" w:cs="Bahij Lotus"/>
          <w:b/>
          <w:bCs/>
          <w:color w:val="262626" w:themeColor="text1" w:themeTint="D9"/>
          <w:spacing w:val="4"/>
          <w:sz w:val="38"/>
          <w:szCs w:val="38"/>
          <w:rtl/>
        </w:rPr>
      </w:pPr>
      <w:r w:rsidRPr="00FA3D6A">
        <w:rPr>
          <w:rFonts w:ascii="Bahij Lotus" w:hAnsi="Bahij Lotus" w:cs="Bahij Lotus" w:hint="cs"/>
          <w:b/>
          <w:bCs/>
          <w:spacing w:val="4"/>
          <w:sz w:val="38"/>
          <w:szCs w:val="38"/>
          <w:rtl/>
        </w:rPr>
        <w:t>أنواع المصادر التاريخية</w:t>
      </w:r>
    </w:p>
    <w:p w:rsidR="009838F5" w:rsidRDefault="009838F5" w:rsidP="00E45616">
      <w:pPr>
        <w:bidi/>
        <w:spacing w:after="120"/>
        <w:jc w:val="both"/>
        <w:rPr>
          <w:rFonts w:ascii="Bahij Lotus" w:hAnsi="Bahij Lotus" w:cs="Bahij Lotus"/>
          <w:b/>
          <w:bCs/>
          <w:color w:val="262626" w:themeColor="text1" w:themeTint="D9"/>
          <w:sz w:val="28"/>
          <w:szCs w:val="28"/>
          <w:rtl/>
        </w:rPr>
      </w:pPr>
    </w:p>
    <w:p w:rsidR="009838F5" w:rsidRPr="00E45616" w:rsidRDefault="009838F5" w:rsidP="00E45616">
      <w:pPr>
        <w:bidi/>
        <w:spacing w:after="120"/>
        <w:jc w:val="both"/>
        <w:rPr>
          <w:rFonts w:ascii="Bahij Lotus" w:hAnsi="Bahij Lotus" w:cs="Bahij Lotus"/>
          <w:b/>
          <w:bCs/>
          <w:color w:val="262626" w:themeColor="text1" w:themeTint="D9"/>
          <w:sz w:val="32"/>
          <w:szCs w:val="32"/>
          <w:rtl/>
        </w:rPr>
      </w:pPr>
    </w:p>
    <w:p w:rsidR="009838F5" w:rsidRPr="00E45616" w:rsidRDefault="009838F5" w:rsidP="00E45616">
      <w:pPr>
        <w:pStyle w:val="Paragraphedeliste"/>
        <w:numPr>
          <w:ilvl w:val="0"/>
          <w:numId w:val="1"/>
        </w:numPr>
        <w:shd w:val="clear" w:color="auto" w:fill="FFFFFF"/>
        <w:bidi/>
        <w:spacing w:after="120"/>
        <w:ind w:left="714" w:hanging="357"/>
        <w:jc w:val="both"/>
        <w:rPr>
          <w:rFonts w:ascii="Bahij Lotus" w:eastAsia="Times New Roman" w:hAnsi="Bahij Lotus" w:cs="Bahij Lotus"/>
          <w:noProof w:val="0"/>
          <w:color w:val="222222"/>
          <w:spacing w:val="-1"/>
          <w:sz w:val="32"/>
          <w:szCs w:val="32"/>
          <w:lang w:eastAsia="fr-FR"/>
        </w:rPr>
      </w:pPr>
      <w:r w:rsidRPr="00E45616">
        <w:rPr>
          <w:rFonts w:ascii="Bahij Lotus" w:eastAsia="Times New Roman" w:hAnsi="Bahij Lotus" w:cs="Bahij Lotus"/>
          <w:b/>
          <w:bCs/>
          <w:noProof w:val="0"/>
          <w:color w:val="222222"/>
          <w:spacing w:val="-4"/>
          <w:sz w:val="36"/>
          <w:szCs w:val="36"/>
          <w:rtl/>
          <w:lang w:eastAsia="fr-FR"/>
        </w:rPr>
        <w:t xml:space="preserve">المصادر </w:t>
      </w:r>
      <w:proofErr w:type="gramStart"/>
      <w:r w:rsidRPr="00E45616">
        <w:rPr>
          <w:rFonts w:ascii="Bahij Lotus" w:eastAsia="Times New Roman" w:hAnsi="Bahij Lotus" w:cs="Bahij Lotus"/>
          <w:b/>
          <w:bCs/>
          <w:noProof w:val="0"/>
          <w:color w:val="222222"/>
          <w:spacing w:val="-4"/>
          <w:sz w:val="36"/>
          <w:szCs w:val="36"/>
          <w:rtl/>
          <w:lang w:eastAsia="fr-FR"/>
        </w:rPr>
        <w:t>الأو</w:t>
      </w:r>
      <w:r w:rsidRPr="00E45616">
        <w:rPr>
          <w:rFonts w:ascii="Bahij Lotus" w:eastAsia="Times New Roman" w:hAnsi="Bahij Lotus" w:cs="Bahij Lotus" w:hint="cs"/>
          <w:b/>
          <w:bCs/>
          <w:noProof w:val="0"/>
          <w:color w:val="222222"/>
          <w:spacing w:val="-4"/>
          <w:sz w:val="36"/>
          <w:szCs w:val="36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b/>
          <w:bCs/>
          <w:noProof w:val="0"/>
          <w:color w:val="222222"/>
          <w:spacing w:val="-4"/>
          <w:sz w:val="36"/>
          <w:szCs w:val="36"/>
          <w:rtl/>
          <w:lang w:eastAsia="fr-FR"/>
        </w:rPr>
        <w:t>لية</w:t>
      </w:r>
      <w:r w:rsidRPr="00E45616">
        <w:rPr>
          <w:rFonts w:ascii="Bahij Lotus" w:eastAsia="Times New Roman" w:hAnsi="Bahij Lotus" w:cs="Bahij Lotus" w:hint="cs"/>
          <w:b/>
          <w:bCs/>
          <w:noProof w:val="0"/>
          <w:color w:val="222222"/>
          <w:spacing w:val="-4"/>
          <w:sz w:val="36"/>
          <w:szCs w:val="36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>:</w:t>
      </w:r>
      <w:proofErr w:type="gramEnd"/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 xml:space="preserve"> 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>تسم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>ى أحيان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>ً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>ا المصادر الأساسية أو الأصلية، 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>هي المصادر الأولى للمعلومة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2"/>
          <w:sz w:val="32"/>
          <w:szCs w:val="32"/>
          <w:rtl/>
          <w:lang w:eastAsia="fr-FR"/>
        </w:rPr>
        <w:t>التاريخية ؛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2"/>
          <w:sz w:val="32"/>
          <w:szCs w:val="32"/>
          <w:rtl/>
          <w:lang w:eastAsia="fr-FR"/>
        </w:rPr>
        <w:t xml:space="preserve"> 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2"/>
          <w:sz w:val="32"/>
          <w:szCs w:val="32"/>
          <w:rtl/>
          <w:lang w:eastAsia="fr-FR"/>
        </w:rPr>
        <w:t>بتعريف آخر، فهي تلك المصادر ال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2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2"/>
          <w:sz w:val="32"/>
          <w:szCs w:val="32"/>
          <w:rtl/>
          <w:lang w:eastAsia="fr-FR"/>
        </w:rPr>
        <w:t>تي لم تعتمد في نقلها للمعلومة على مصادر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1"/>
          <w:sz w:val="32"/>
          <w:szCs w:val="32"/>
          <w:rtl/>
          <w:lang w:eastAsia="fr-FR"/>
        </w:rPr>
        <w:t>أخرى سبقتها، 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1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1"/>
          <w:sz w:val="32"/>
          <w:szCs w:val="32"/>
          <w:rtl/>
          <w:lang w:eastAsia="fr-FR"/>
        </w:rPr>
        <w:t>إن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1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1"/>
          <w:sz w:val="32"/>
          <w:szCs w:val="32"/>
          <w:rtl/>
          <w:lang w:eastAsia="fr-FR"/>
        </w:rPr>
        <w:t>ما هي أو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1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1"/>
          <w:sz w:val="32"/>
          <w:szCs w:val="32"/>
          <w:rtl/>
          <w:lang w:eastAsia="fr-FR"/>
        </w:rPr>
        <w:t>ل مصدر أورد المعلومة. 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1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1"/>
          <w:sz w:val="32"/>
          <w:szCs w:val="32"/>
          <w:rtl/>
          <w:lang w:eastAsia="fr-FR"/>
        </w:rPr>
        <w:t>تشمل المصادر الأولية عد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1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1"/>
          <w:sz w:val="32"/>
          <w:szCs w:val="32"/>
          <w:rtl/>
          <w:lang w:eastAsia="fr-FR"/>
        </w:rPr>
        <w:t>ة أنواع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1"/>
          <w:sz w:val="32"/>
          <w:szCs w:val="32"/>
          <w:rtl/>
          <w:lang w:eastAsia="fr-FR"/>
        </w:rPr>
        <w:t>،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1"/>
          <w:sz w:val="32"/>
          <w:szCs w:val="32"/>
          <w:rtl/>
          <w:lang w:eastAsia="fr-FR"/>
        </w:rPr>
        <w:t xml:space="preserve"> 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1"/>
          <w:sz w:val="32"/>
          <w:szCs w:val="32"/>
          <w:rtl/>
          <w:lang w:eastAsia="fr-FR"/>
        </w:rPr>
        <w:t xml:space="preserve"> </w:t>
      </w:r>
      <w:proofErr w:type="gramStart"/>
      <w:r w:rsidRPr="00E45616">
        <w:rPr>
          <w:rFonts w:ascii="Bahij Lotus" w:eastAsia="Times New Roman" w:hAnsi="Bahij Lotus" w:cs="Bahij Lotus"/>
          <w:noProof w:val="0"/>
          <w:color w:val="222222"/>
          <w:spacing w:val="-1"/>
          <w:sz w:val="32"/>
          <w:szCs w:val="32"/>
          <w:rtl/>
          <w:lang w:eastAsia="fr-FR"/>
        </w:rPr>
        <w:t>هي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1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1"/>
          <w:sz w:val="32"/>
          <w:szCs w:val="32"/>
          <w:rtl/>
          <w:lang w:eastAsia="fr-FR"/>
        </w:rPr>
        <w:t>:</w:t>
      </w:r>
      <w:proofErr w:type="gramEnd"/>
    </w:p>
    <w:p w:rsidR="009838F5" w:rsidRPr="00E45616" w:rsidRDefault="009838F5" w:rsidP="00E45616">
      <w:pPr>
        <w:pStyle w:val="Paragraphedeliste"/>
        <w:shd w:val="clear" w:color="auto" w:fill="FFFFFF"/>
        <w:bidi/>
        <w:spacing w:after="120"/>
        <w:jc w:val="both"/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</w:pP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- </w:t>
      </w:r>
      <w:r w:rsidRPr="00E45616">
        <w:rPr>
          <w:rFonts w:ascii="Bahij Lotus" w:eastAsia="Times New Roman" w:hAnsi="Bahij Lotus" w:cs="Bahij Lotus" w:hint="cs"/>
          <w:b/>
          <w:bCs/>
          <w:noProof w:val="0"/>
          <w:color w:val="222222"/>
          <w:sz w:val="32"/>
          <w:szCs w:val="32"/>
          <w:rtl/>
          <w:lang w:eastAsia="fr-FR"/>
        </w:rPr>
        <w:t xml:space="preserve">المصادر </w:t>
      </w:r>
      <w:proofErr w:type="gramStart"/>
      <w:r w:rsidRPr="00E45616">
        <w:rPr>
          <w:rFonts w:ascii="Bahij Lotus" w:eastAsia="Times New Roman" w:hAnsi="Bahij Lotus" w:cs="Bahij Lotus" w:hint="cs"/>
          <w:b/>
          <w:bCs/>
          <w:noProof w:val="0"/>
          <w:color w:val="222222"/>
          <w:sz w:val="32"/>
          <w:szCs w:val="32"/>
          <w:rtl/>
          <w:lang w:eastAsia="fr-FR"/>
        </w:rPr>
        <w:t>المادية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:</w:t>
      </w:r>
      <w:proofErr w:type="gramEnd"/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تشمل جميع المخلّفات الأثرية الّتي تعود إلى ماضي قريب أو بعيد ؛ و تمثّل أصدق الشواهد عن النشاط الإنساني، و نذكر من بينها : العمارة و الآثار العمرانية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النقوش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المسكوكات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التحف الفنية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الأغراض اليومية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البقايا البشرية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المنحوتات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إلخ.</w:t>
      </w:r>
    </w:p>
    <w:p w:rsidR="009838F5" w:rsidRPr="00E45616" w:rsidRDefault="009838F5" w:rsidP="00E45616">
      <w:pPr>
        <w:pStyle w:val="Paragraphedeliste"/>
        <w:shd w:val="clear" w:color="auto" w:fill="FFFFFF"/>
        <w:bidi/>
        <w:spacing w:after="120"/>
        <w:jc w:val="both"/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</w:pP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- </w:t>
      </w:r>
      <w:r w:rsidRPr="00E45616">
        <w:rPr>
          <w:rFonts w:ascii="Bahij Lotus" w:eastAsia="Times New Roman" w:hAnsi="Bahij Lotus" w:cs="Bahij Lotus" w:hint="cs"/>
          <w:b/>
          <w:bCs/>
          <w:noProof w:val="0"/>
          <w:color w:val="222222"/>
          <w:sz w:val="32"/>
          <w:szCs w:val="32"/>
          <w:rtl/>
          <w:lang w:eastAsia="fr-FR"/>
        </w:rPr>
        <w:t xml:space="preserve">المصادر </w:t>
      </w:r>
      <w:proofErr w:type="gramStart"/>
      <w:r w:rsidRPr="00E45616">
        <w:rPr>
          <w:rFonts w:ascii="Bahij Lotus" w:eastAsia="Times New Roman" w:hAnsi="Bahij Lotus" w:cs="Bahij Lotus" w:hint="cs"/>
          <w:b/>
          <w:bCs/>
          <w:noProof w:val="0"/>
          <w:color w:val="222222"/>
          <w:sz w:val="32"/>
          <w:szCs w:val="32"/>
          <w:rtl/>
          <w:lang w:eastAsia="fr-FR"/>
        </w:rPr>
        <w:t>الشفوية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:</w:t>
      </w:r>
      <w:proofErr w:type="gramEnd"/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تمكننا من التعرّف على طابع الحياة الاجتماعية و الثقافية في مجتمع ما، حيث تميط اللثام عن التراث اللامادي (الأمثال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القصائد التاريخية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الحكايات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الأغاني الشعبية)، و المعارف ذات الطابع الأنثروبولوجي (الأساطير و الخرافات و التقاليد الاجتماعية البالية في طور الاندثار)، إلى جانب الشهادات الشفوية و المرويات المتناقلة الّتي تشكّل إضافة للمصادر التقليدية (المكتوبة).</w:t>
      </w:r>
    </w:p>
    <w:p w:rsidR="009838F5" w:rsidRPr="00E45616" w:rsidRDefault="009838F5" w:rsidP="00E45616">
      <w:pPr>
        <w:pStyle w:val="Paragraphedeliste"/>
        <w:shd w:val="clear" w:color="auto" w:fill="FFFFFF"/>
        <w:bidi/>
        <w:spacing w:after="120"/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</w:pP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أهمّية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المصادر </w:t>
      </w:r>
      <w:proofErr w:type="gramStart"/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الشفهية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lang w:eastAsia="fr-FR"/>
        </w:rPr>
        <w:t xml:space="preserve"> :</w:t>
      </w:r>
      <w:proofErr w:type="gramEnd"/>
    </w:p>
    <w:p w:rsidR="009838F5" w:rsidRPr="00E45616" w:rsidRDefault="009838F5" w:rsidP="00E45616">
      <w:pPr>
        <w:pStyle w:val="Paragraphedeliste"/>
        <w:shd w:val="clear" w:color="auto" w:fill="FFFFFF"/>
        <w:bidi/>
        <w:spacing w:after="120"/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</w:pP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.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لا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وثائق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يعني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لا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تاريخ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lang w:eastAsia="fr-FR"/>
        </w:rPr>
        <w:sym w:font="Wingdings 3" w:char="F089"/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يستلزم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ذلك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أحيانًا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الاعتماد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على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الشهادات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و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الروايات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الشفهية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على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اعتبار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أنها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ستكون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المصدر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الأساسي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(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الوحيد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)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للتوثيق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التاريخي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lang w:eastAsia="fr-FR"/>
        </w:rPr>
        <w:t>.</w:t>
      </w:r>
    </w:p>
    <w:p w:rsidR="009838F5" w:rsidRPr="00E45616" w:rsidRDefault="009838F5" w:rsidP="00E45616">
      <w:pPr>
        <w:pStyle w:val="Paragraphedeliste"/>
        <w:shd w:val="clear" w:color="auto" w:fill="FFFFFF"/>
        <w:bidi/>
        <w:spacing w:after="120"/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</w:pP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. التاريخ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الشفهي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مصدر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يدعّم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أو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يكمّل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الوقائع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الّتي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وثّقتها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المصادر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التقليدية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lang w:eastAsia="fr-FR"/>
        </w:rPr>
        <w:t>.</w:t>
      </w:r>
    </w:p>
    <w:p w:rsidR="009838F5" w:rsidRPr="00E45616" w:rsidRDefault="009838F5" w:rsidP="00E45616">
      <w:pPr>
        <w:pStyle w:val="Paragraphedeliste"/>
        <w:shd w:val="clear" w:color="auto" w:fill="FFFFFF"/>
        <w:bidi/>
        <w:spacing w:after="120"/>
        <w:jc w:val="both"/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</w:pP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lastRenderedPageBreak/>
        <w:t xml:space="preserve">- </w:t>
      </w:r>
      <w:r w:rsidRPr="00E45616">
        <w:rPr>
          <w:rFonts w:ascii="Bahij Lotus" w:eastAsia="Times New Roman" w:hAnsi="Bahij Lotus" w:cs="Bahij Lotus" w:hint="cs"/>
          <w:b/>
          <w:bCs/>
          <w:noProof w:val="0"/>
          <w:color w:val="222222"/>
          <w:sz w:val="32"/>
          <w:szCs w:val="32"/>
          <w:rtl/>
          <w:lang w:eastAsia="fr-FR"/>
        </w:rPr>
        <w:t>المصادر الكتابية (القلمية)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: تأتي في المقام الأوّل من مصادر التاريخ، و هي بشكلٍ عامّ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الوثائق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1"/>
          <w:sz w:val="32"/>
          <w:szCs w:val="32"/>
          <w:rtl/>
          <w:lang w:eastAsia="fr-FR"/>
        </w:rPr>
        <w:t>ال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1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1"/>
          <w:sz w:val="32"/>
          <w:szCs w:val="32"/>
          <w:rtl/>
          <w:lang w:eastAsia="fr-FR"/>
        </w:rPr>
        <w:t>تي حفظت 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1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1"/>
          <w:sz w:val="32"/>
          <w:szCs w:val="32"/>
          <w:rtl/>
          <w:lang w:eastAsia="fr-FR"/>
        </w:rPr>
        <w:t>كتبت من قبل شخص مشارك في وقائعها، أو على الأقل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1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1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1"/>
          <w:sz w:val="32"/>
          <w:szCs w:val="32"/>
          <w:rtl/>
          <w:lang w:eastAsia="fr-FR"/>
        </w:rPr>
        <w:t xml:space="preserve">شاهد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1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1"/>
          <w:sz w:val="32"/>
          <w:szCs w:val="32"/>
          <w:rtl/>
          <w:lang w:eastAsia="fr-FR"/>
        </w:rPr>
        <w:t xml:space="preserve"> </w:t>
      </w:r>
      <w:bookmarkStart w:id="0" w:name="_GoBack"/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>م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 xml:space="preserve">عاصر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>– لها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 xml:space="preserve"> ؛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 xml:space="preserve"> 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>أعد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>ت أساس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>ً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>ا بغرض تهيئة المعلومات ال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>تي تحتويها للاستفادة منها 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4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4"/>
          <w:sz w:val="32"/>
          <w:szCs w:val="32"/>
          <w:rtl/>
          <w:lang w:eastAsia="fr-FR"/>
        </w:rPr>
        <w:t>الرجوع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</w:t>
      </w:r>
      <w:bookmarkEnd w:id="0"/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إليها مستقبلا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ً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(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الكتب المخطوطة و المطبوعة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ال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معاهدات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 القوانين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 القرارات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–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الفتاوى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 الرسائل الشخصية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 اليوميات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 العقود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 الشهادات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 الخرائط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 ال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تقارير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 ا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لأحكام القضائية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– 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الدفاتر المالية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السجلاّت الإدارية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ال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مراسلا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ت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الرسمية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 ال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مذكّرات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المجلاّت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إلخ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)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.</w:t>
      </w:r>
    </w:p>
    <w:p w:rsidR="00E45616" w:rsidRPr="00E45616" w:rsidRDefault="00E45616" w:rsidP="00E45616">
      <w:pPr>
        <w:pStyle w:val="Paragraphedeliste"/>
        <w:shd w:val="clear" w:color="auto" w:fill="FFFFFF"/>
        <w:bidi/>
        <w:spacing w:after="120"/>
        <w:jc w:val="both"/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</w:pPr>
    </w:p>
    <w:p w:rsidR="009838F5" w:rsidRPr="00E45616" w:rsidRDefault="009838F5" w:rsidP="00E45616">
      <w:pPr>
        <w:pStyle w:val="Paragraphedeliste"/>
        <w:numPr>
          <w:ilvl w:val="0"/>
          <w:numId w:val="2"/>
        </w:numPr>
        <w:shd w:val="clear" w:color="auto" w:fill="FFFFFF"/>
        <w:bidi/>
        <w:spacing w:after="120"/>
        <w:jc w:val="both"/>
        <w:rPr>
          <w:rFonts w:ascii="Bahij Lotus" w:hAnsi="Bahij Lotus" w:cs="Bahij Lotus"/>
          <w:spacing w:val="-2"/>
          <w:sz w:val="32"/>
          <w:szCs w:val="32"/>
          <w:rtl/>
        </w:rPr>
      </w:pPr>
      <w:r w:rsidRPr="00E45616">
        <w:rPr>
          <w:rFonts w:ascii="Bahij Lotus" w:eastAsia="Times New Roman" w:hAnsi="Bahij Lotus" w:cs="Bahij Lotus"/>
          <w:b/>
          <w:bCs/>
          <w:noProof w:val="0"/>
          <w:color w:val="222222"/>
          <w:sz w:val="36"/>
          <w:szCs w:val="36"/>
          <w:rtl/>
          <w:lang w:eastAsia="fr-FR"/>
        </w:rPr>
        <w:t xml:space="preserve">المصادر </w:t>
      </w:r>
      <w:proofErr w:type="gramStart"/>
      <w:r w:rsidRPr="00E45616">
        <w:rPr>
          <w:rFonts w:ascii="Bahij Lotus" w:eastAsia="Times New Roman" w:hAnsi="Bahij Lotus" w:cs="Bahij Lotus"/>
          <w:b/>
          <w:bCs/>
          <w:noProof w:val="0"/>
          <w:color w:val="222222"/>
          <w:sz w:val="36"/>
          <w:szCs w:val="36"/>
          <w:rtl/>
          <w:lang w:eastAsia="fr-FR"/>
        </w:rPr>
        <w:t>الثانوية</w:t>
      </w:r>
      <w:r w:rsidRPr="00E45616">
        <w:rPr>
          <w:rFonts w:ascii="Bahij Lotus" w:eastAsia="Times New Roman" w:hAnsi="Bahij Lotus" w:cs="Bahij Lotus" w:hint="cs"/>
          <w:b/>
          <w:bCs/>
          <w:noProof w:val="0"/>
          <w:color w:val="222222"/>
          <w:sz w:val="36"/>
          <w:szCs w:val="36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b/>
          <w:bCs/>
          <w:noProof w:val="0"/>
          <w:color w:val="222222"/>
          <w:sz w:val="36"/>
          <w:szCs w:val="36"/>
          <w:rtl/>
          <w:lang w:eastAsia="fr-FR"/>
        </w:rPr>
        <w:t>:</w:t>
      </w:r>
      <w:proofErr w:type="gramEnd"/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هي ال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تي تنقل عن المصادر الأو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لية</w:t>
      </w:r>
      <w:r w:rsidRPr="00E45616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،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 xml:space="preserve"> كما هو الحال في كتب المؤلفين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>ال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 xml:space="preserve">ذين يكونون قد استفادوا من 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>تلك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 xml:space="preserve"> المعلومات أو عرضوا لها بطريق أو بآخر. </w:t>
      </w:r>
      <w:proofErr w:type="gramStart"/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>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>تفض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>ل</w:t>
      </w:r>
      <w:proofErr w:type="gramEnd"/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 xml:space="preserve"> المصادر الأو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>لية غالب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>ً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>ا على المصادر الثانوية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>،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>على اعتبار أنّها أصلية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 xml:space="preserve">. </w:t>
      </w:r>
      <w:proofErr w:type="gramStart"/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>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>في</w:t>
      </w:r>
      <w:proofErr w:type="gramEnd"/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 xml:space="preserve"> أحيان قليلة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>،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 xml:space="preserve"> تفض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>ل المصادر الثانوية على الأو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>لية، 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>ذلك حينما تكون المعلومات المنشورة في المصادر الأو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-2"/>
          <w:sz w:val="32"/>
          <w:szCs w:val="32"/>
          <w:rtl/>
          <w:lang w:eastAsia="fr-FR"/>
        </w:rPr>
        <w:t xml:space="preserve">لية معروضة بصورة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2"/>
          <w:sz w:val="32"/>
          <w:szCs w:val="32"/>
          <w:rtl/>
          <w:lang w:eastAsia="fr-FR"/>
        </w:rPr>
        <w:t>بدائية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2"/>
          <w:sz w:val="32"/>
          <w:szCs w:val="32"/>
          <w:rtl/>
          <w:lang w:eastAsia="fr-FR"/>
        </w:rPr>
        <w:t>،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2"/>
          <w:sz w:val="32"/>
          <w:szCs w:val="32"/>
          <w:rtl/>
          <w:lang w:eastAsia="fr-FR"/>
        </w:rPr>
        <w:t xml:space="preserve"> ثم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2"/>
          <w:sz w:val="32"/>
          <w:szCs w:val="32"/>
          <w:rtl/>
          <w:lang w:eastAsia="fr-FR"/>
        </w:rPr>
        <w:t>ّ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2"/>
          <w:sz w:val="32"/>
          <w:szCs w:val="32"/>
          <w:rtl/>
          <w:lang w:eastAsia="fr-FR"/>
        </w:rPr>
        <w:t xml:space="preserve"> يقوم بعض ال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2"/>
          <w:sz w:val="32"/>
          <w:szCs w:val="32"/>
          <w:rtl/>
          <w:lang w:eastAsia="fr-FR"/>
        </w:rPr>
        <w:t>محقّق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2"/>
          <w:sz w:val="32"/>
          <w:szCs w:val="32"/>
          <w:rtl/>
          <w:lang w:eastAsia="fr-FR"/>
        </w:rPr>
        <w:t>ين بتبويبها و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pacing w:val="2"/>
          <w:sz w:val="32"/>
          <w:szCs w:val="32"/>
          <w:rtl/>
          <w:lang w:eastAsia="fr-FR"/>
        </w:rPr>
        <w:t xml:space="preserve">نشرها في صورة أكثر إفادة للباحثين. </w:t>
      </w:r>
      <w:r w:rsidRPr="00E45616">
        <w:rPr>
          <w:rFonts w:ascii="Bahij Lotus" w:eastAsia="Times New Roman" w:hAnsi="Bahij Lotus" w:cs="Bahij Lotus" w:hint="cs"/>
          <w:noProof w:val="0"/>
          <w:color w:val="222222"/>
          <w:spacing w:val="2"/>
          <w:sz w:val="32"/>
          <w:szCs w:val="32"/>
          <w:rtl/>
          <w:lang w:eastAsia="fr-FR"/>
        </w:rPr>
        <w:t xml:space="preserve">و نذكر </w:t>
      </w:r>
      <w:proofErr w:type="gramStart"/>
      <w:r w:rsidRPr="00E45616">
        <w:rPr>
          <w:rFonts w:ascii="Bahij Lotus" w:eastAsia="Times New Roman" w:hAnsi="Bahij Lotus" w:cs="Bahij Lotus" w:hint="cs"/>
          <w:noProof w:val="0"/>
          <w:color w:val="222222"/>
          <w:spacing w:val="2"/>
          <w:sz w:val="32"/>
          <w:szCs w:val="32"/>
          <w:rtl/>
          <w:lang w:eastAsia="fr-FR"/>
        </w:rPr>
        <w:t>منها :</w:t>
      </w:r>
      <w:proofErr w:type="gramEnd"/>
      <w:r w:rsidRPr="00E45616">
        <w:rPr>
          <w:rFonts w:ascii="Bahij Lotus" w:eastAsia="Times New Roman" w:hAnsi="Bahij Lotus" w:cs="Bahij Lotus" w:hint="cs"/>
          <w:noProof w:val="0"/>
          <w:color w:val="222222"/>
          <w:spacing w:val="-2"/>
          <w:sz w:val="32"/>
          <w:szCs w:val="32"/>
          <w:rtl/>
          <w:lang w:eastAsia="fr-FR"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 xml:space="preserve">المؤلّفات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الموسوعات و دوائر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 xml:space="preserve">المعارف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الصحف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 xml:space="preserve">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hAnsi="Bahij Lotus" w:cs="Bahij Lotus" w:hint="cs"/>
          <w:sz w:val="32"/>
          <w:szCs w:val="32"/>
          <w:rtl/>
        </w:rPr>
        <w:t xml:space="preserve"> الدوريات </w:t>
      </w:r>
      <w:r w:rsidRPr="00E45616">
        <w:rPr>
          <w:rFonts w:ascii="Bahij Lotus" w:hAnsi="Bahij Lotus" w:cs="Bahij Lotus"/>
          <w:sz w:val="32"/>
          <w:szCs w:val="32"/>
          <w:rtl/>
        </w:rPr>
        <w:t>–</w:t>
      </w:r>
      <w:r w:rsidRPr="00E45616">
        <w:rPr>
          <w:rFonts w:ascii="Bahij Lotus" w:hAnsi="Bahij Lotus" w:cs="Bahij Lotus" w:hint="cs"/>
          <w:sz w:val="32"/>
          <w:szCs w:val="32"/>
          <w:rtl/>
        </w:rPr>
        <w:t xml:space="preserve"> الرسائل الأكاديمية </w:t>
      </w:r>
      <w:r w:rsidRPr="00E45616">
        <w:rPr>
          <w:rFonts w:ascii="Bahij Lotus" w:hAnsi="Bahij Lotus" w:cs="Bahij Lotus"/>
          <w:sz w:val="32"/>
          <w:szCs w:val="32"/>
          <w:rtl/>
        </w:rPr>
        <w:t>–</w:t>
      </w:r>
      <w:r w:rsidRPr="00E45616">
        <w:rPr>
          <w:rFonts w:ascii="Bahij Lotus" w:hAnsi="Bahij Lotus" w:cs="Bahij Lotus" w:hint="cs"/>
          <w:sz w:val="32"/>
          <w:szCs w:val="32"/>
          <w:rtl/>
        </w:rPr>
        <w:t xml:space="preserve"> المقالات العلمية </w:t>
      </w:r>
      <w:r w:rsidRPr="00E45616">
        <w:rPr>
          <w:rFonts w:ascii="Bahij Lotus" w:hAnsi="Bahij Lotus" w:cs="Bahij Lotus"/>
          <w:sz w:val="32"/>
          <w:szCs w:val="32"/>
          <w:rtl/>
        </w:rPr>
        <w:t>–</w:t>
      </w:r>
      <w:r w:rsidRPr="00E45616">
        <w:rPr>
          <w:rFonts w:ascii="Bahij Lotus" w:hAnsi="Bahij Lotus" w:cs="Bahij Lotus" w:hint="cs"/>
          <w:sz w:val="32"/>
          <w:szCs w:val="32"/>
          <w:rtl/>
        </w:rPr>
        <w:t xml:space="preserve"> المحاضرات </w:t>
      </w:r>
      <w:r w:rsidRPr="00E45616">
        <w:rPr>
          <w:rFonts w:ascii="Bahij Lotus" w:hAnsi="Bahij Lotus" w:cs="Bahij Lotus"/>
          <w:sz w:val="32"/>
          <w:szCs w:val="32"/>
          <w:rtl/>
        </w:rPr>
        <w:t>–</w:t>
      </w:r>
      <w:r w:rsidRPr="00E45616">
        <w:rPr>
          <w:rFonts w:ascii="Bahij Lotus" w:hAnsi="Bahij Lotus" w:cs="Bahij Lotus" w:hint="cs"/>
          <w:sz w:val="32"/>
          <w:szCs w:val="32"/>
          <w:rtl/>
        </w:rPr>
        <w:t xml:space="preserve"> أعمال الملتقيات </w:t>
      </w:r>
      <w:r w:rsidRPr="00E45616">
        <w:rPr>
          <w:rFonts w:ascii="Bahij Lotus" w:hAnsi="Bahij Lotus" w:cs="Bahij Lotus"/>
          <w:sz w:val="32"/>
          <w:szCs w:val="32"/>
          <w:rtl/>
        </w:rPr>
        <w:t>–</w:t>
      </w:r>
      <w:r w:rsidRPr="00E45616">
        <w:rPr>
          <w:rFonts w:ascii="Bahij Lotus" w:hAnsi="Bahij Lotus" w:cs="Bahij Lotus" w:hint="cs"/>
          <w:sz w:val="32"/>
          <w:szCs w:val="32"/>
          <w:rtl/>
        </w:rPr>
        <w:t xml:space="preserve"> المطبوعات الدراسية </w:t>
      </w:r>
      <w:r w:rsidRPr="00E45616">
        <w:rPr>
          <w:rFonts w:ascii="Bahij Lotus" w:eastAsia="Times New Roman" w:hAnsi="Bahij Lotus" w:cs="Bahij Lotus"/>
          <w:noProof w:val="0"/>
          <w:color w:val="222222"/>
          <w:sz w:val="32"/>
          <w:szCs w:val="32"/>
          <w:rtl/>
          <w:lang w:eastAsia="fr-FR"/>
        </w:rPr>
        <w:t>–</w:t>
      </w:r>
      <w:r w:rsidRPr="00E45616">
        <w:rPr>
          <w:rFonts w:ascii="Bahij Lotus" w:hAnsi="Bahij Lotus" w:cs="Bahij Lotus" w:hint="cs"/>
          <w:sz w:val="32"/>
          <w:szCs w:val="32"/>
          <w:rtl/>
        </w:rPr>
        <w:t xml:space="preserve"> إلخ.</w:t>
      </w:r>
    </w:p>
    <w:p w:rsidR="009838F5" w:rsidRPr="00E45616" w:rsidRDefault="009838F5" w:rsidP="00E45616">
      <w:pPr>
        <w:bidi/>
        <w:spacing w:after="120"/>
        <w:ind w:left="708"/>
        <w:jc w:val="both"/>
        <w:rPr>
          <w:rFonts w:ascii="Bahij Lotus" w:hAnsi="Bahij Lotus" w:cs="Bahij Lotus"/>
          <w:sz w:val="32"/>
          <w:szCs w:val="32"/>
          <w:rtl/>
        </w:rPr>
      </w:pPr>
      <w:r w:rsidRPr="00E45616">
        <w:rPr>
          <w:rFonts w:ascii="Bahij Lotus" w:hAnsi="Bahij Lotus" w:cs="Bahij Lotus" w:hint="cs"/>
          <w:sz w:val="32"/>
          <w:szCs w:val="32"/>
          <w:rtl/>
        </w:rPr>
        <w:t>و تكمن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أهمّية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المصادر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الثانوية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في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كون محتواها مهضوم و منظّم (مبوّب)،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يتيسّر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للباحث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الاطلاع عليه و الوصول إلى المعلومة مقارنةً بالمصادر الأوّلية في شكلها الخامّ ؛ و ذلك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بقطع النظر عن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احتمالات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التحيّز و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التشويه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و التحريف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و الحذف الكبيرة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الواردة</w:t>
      </w:r>
      <w:r w:rsidRPr="00E45616">
        <w:rPr>
          <w:rFonts w:ascii="Bahij Lotus" w:hAnsi="Bahij Lotus" w:cs="Bahij Lotus"/>
          <w:sz w:val="32"/>
          <w:szCs w:val="32"/>
          <w:rtl/>
        </w:rPr>
        <w:t xml:space="preserve"> </w:t>
      </w:r>
      <w:r w:rsidRPr="00E45616">
        <w:rPr>
          <w:rFonts w:ascii="Bahij Lotus" w:hAnsi="Bahij Lotus" w:cs="Bahij Lotus" w:hint="cs"/>
          <w:sz w:val="32"/>
          <w:szCs w:val="32"/>
          <w:rtl/>
        </w:rPr>
        <w:t>فيها</w:t>
      </w:r>
      <w:r w:rsidRPr="00E45616">
        <w:rPr>
          <w:rFonts w:ascii="Bahij Lotus" w:hAnsi="Bahij Lotus" w:cs="Bahij Lotus"/>
          <w:sz w:val="32"/>
          <w:szCs w:val="32"/>
        </w:rPr>
        <w:t>.</w:t>
      </w:r>
    </w:p>
    <w:sectPr w:rsidR="009838F5" w:rsidRPr="00E456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600" w:rsidRDefault="00F72600" w:rsidP="00E45616">
      <w:pPr>
        <w:spacing w:after="0" w:line="240" w:lineRule="auto"/>
      </w:pPr>
      <w:r>
        <w:separator/>
      </w:r>
    </w:p>
  </w:endnote>
  <w:endnote w:type="continuationSeparator" w:id="0">
    <w:p w:rsidR="00F72600" w:rsidRDefault="00F72600" w:rsidP="00E4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600" w:rsidRDefault="00F72600" w:rsidP="00E45616">
      <w:pPr>
        <w:spacing w:after="0" w:line="240" w:lineRule="auto"/>
      </w:pPr>
      <w:r>
        <w:separator/>
      </w:r>
    </w:p>
  </w:footnote>
  <w:footnote w:type="continuationSeparator" w:id="0">
    <w:p w:rsidR="00F72600" w:rsidRDefault="00F72600" w:rsidP="00E4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16" w:rsidRDefault="00E45616">
    <w:pPr>
      <w:pStyle w:val="En-tte"/>
    </w:pPr>
    <w:r>
      <w:rPr>
        <w:rFonts w:hint="cs"/>
        <w:rtl/>
        <w:lang w:bidi="ar-DZ"/>
      </w:rPr>
      <w:t>مصادر تاريخ الجزائر الحديث                                                                             السنة الجامعية 2022-2023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2C50"/>
    <w:multiLevelType w:val="hybridMultilevel"/>
    <w:tmpl w:val="3A2E6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57FB2"/>
    <w:multiLevelType w:val="hybridMultilevel"/>
    <w:tmpl w:val="7BCA9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F5"/>
    <w:rsid w:val="00260264"/>
    <w:rsid w:val="009838F5"/>
    <w:rsid w:val="00E45616"/>
    <w:rsid w:val="00F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2F64"/>
  <w15:chartTrackingRefBased/>
  <w15:docId w15:val="{224D9CC5-D7EA-4F7C-9C97-E1E547EB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F5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8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5616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E4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561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2</cp:revision>
  <dcterms:created xsi:type="dcterms:W3CDTF">2021-03-08T21:59:00Z</dcterms:created>
  <dcterms:modified xsi:type="dcterms:W3CDTF">2022-11-29T05:29:00Z</dcterms:modified>
</cp:coreProperties>
</file>