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CD6C3" w14:textId="2B7DBF77" w:rsidR="00DF7087" w:rsidRPr="00CC196A" w:rsidRDefault="009F3EDC" w:rsidP="00CC196A">
      <w:pPr>
        <w:bidi/>
        <w:jc w:val="both"/>
        <w:rPr>
          <w:rFonts w:ascii="Calibri" w:hAnsi="Calibri" w:cs="Calibri"/>
          <w:sz w:val="24"/>
          <w:szCs w:val="24"/>
          <w:rtl/>
        </w:rPr>
      </w:pPr>
      <w:r w:rsidRPr="00500D21">
        <w:rPr>
          <w:rFonts w:ascii="Arabic Typesetting" w:hAnsi="Arabic Typesetting" w:cs="Arabic Typesetting" w:hint="cs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1312" behindDoc="1" locked="0" layoutInCell="1" allowOverlap="1" wp14:anchorId="6D127823" wp14:editId="4C8D01FB">
            <wp:simplePos x="0" y="0"/>
            <wp:positionH relativeFrom="column">
              <wp:posOffset>2767965</wp:posOffset>
            </wp:positionH>
            <wp:positionV relativeFrom="paragraph">
              <wp:posOffset>92710</wp:posOffset>
            </wp:positionV>
            <wp:extent cx="660400" cy="609600"/>
            <wp:effectExtent l="0" t="0" r="6350" b="0"/>
            <wp:wrapNone/>
            <wp:docPr id="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450"/>
                    <a:stretch/>
                  </pic:blipFill>
                  <pic:spPr bwMode="auto">
                    <a:xfrm>
                      <a:off x="0" y="0"/>
                      <a:ext cx="660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C196A">
        <w:rPr>
          <w:rFonts w:ascii="Calibri" w:hAnsi="Calibri" w:cs="Calibri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020BB" wp14:editId="5FC7F68B">
                <wp:simplePos x="0" y="0"/>
                <wp:positionH relativeFrom="column">
                  <wp:posOffset>-435610</wp:posOffset>
                </wp:positionH>
                <wp:positionV relativeFrom="paragraph">
                  <wp:posOffset>-99061</wp:posOffset>
                </wp:positionV>
                <wp:extent cx="7038975" cy="1076325"/>
                <wp:effectExtent l="2000250" t="76200" r="2028825" b="75247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1076325"/>
                        </a:xfrm>
                        <a:prstGeom prst="roundRect">
                          <a:avLst/>
                        </a:prstGeom>
                        <a:noFill/>
                        <a:effectLst>
                          <a:glow rad="50800">
                            <a:schemeClr val="tx2">
                              <a:alpha val="40000"/>
                            </a:schemeClr>
                          </a:glow>
                          <a:outerShdw blurRad="50800" dist="38100" dir="5400000" sx="154000" sy="154000" algn="t" rotWithShape="0">
                            <a:prstClr val="black">
                              <a:alpha val="14000"/>
                            </a:prstClr>
                          </a:outerShdw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7F4D1B" id="Rectangle : coins arrondis 1" o:spid="_x0000_s1026" style="position:absolute;margin-left:-34.3pt;margin-top:-7.8pt;width:554.25pt;height:8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" filled="f" strokecolor="#1f3763 [1604]" strokeweight="1pt">
                <v:stroke joinstyle="miter"/>
                <v:shadow on="t" type="perspective" color="black" opacity="9175f" origin=",-.5" offset="0,3pt" matrix="100925f,,,100925f"/>
              </v:roundrect>
            </w:pict>
          </mc:Fallback>
        </mc:AlternateContent>
      </w:r>
      <w:r w:rsidR="00CC196A" w:rsidRPr="00CC196A">
        <w:rPr>
          <w:rFonts w:ascii="Calibri" w:hAnsi="Calibri" w:cs="Calibri"/>
          <w:sz w:val="24"/>
          <w:szCs w:val="24"/>
          <w:rtl/>
        </w:rPr>
        <w:t>جامعة الجيلالي بونعامة خميس مليانة</w:t>
      </w:r>
      <w:r w:rsidR="00CC196A" w:rsidRPr="00CC196A">
        <w:rPr>
          <w:rFonts w:ascii="Calibri" w:hAnsi="Calibri" w:cs="Calibri"/>
          <w:sz w:val="24"/>
          <w:szCs w:val="24"/>
          <w:rtl/>
        </w:rPr>
        <w:tab/>
      </w:r>
      <w:r w:rsidR="00CC196A" w:rsidRPr="00CC196A">
        <w:rPr>
          <w:rFonts w:ascii="Calibri" w:hAnsi="Calibri" w:cs="Calibri"/>
          <w:sz w:val="24"/>
          <w:szCs w:val="24"/>
          <w:rtl/>
        </w:rPr>
        <w:tab/>
      </w:r>
      <w:r w:rsidR="00CC196A">
        <w:rPr>
          <w:rFonts w:ascii="Calibri" w:hAnsi="Calibri" w:cs="Calibri"/>
          <w:sz w:val="24"/>
          <w:szCs w:val="24"/>
          <w:rtl/>
        </w:rPr>
        <w:tab/>
      </w:r>
      <w:r w:rsidR="00CC196A">
        <w:rPr>
          <w:rFonts w:ascii="Calibri" w:hAnsi="Calibri" w:cs="Calibri"/>
          <w:sz w:val="24"/>
          <w:szCs w:val="24"/>
          <w:rtl/>
        </w:rPr>
        <w:tab/>
      </w:r>
      <w:r w:rsidR="00CC196A">
        <w:rPr>
          <w:rFonts w:ascii="Calibri" w:hAnsi="Calibri" w:cs="Calibri"/>
          <w:sz w:val="24"/>
          <w:szCs w:val="24"/>
          <w:rtl/>
        </w:rPr>
        <w:tab/>
      </w:r>
      <w:r w:rsidR="00CC196A">
        <w:rPr>
          <w:rFonts w:ascii="Calibri" w:hAnsi="Calibri" w:cs="Calibri"/>
          <w:sz w:val="24"/>
          <w:szCs w:val="24"/>
          <w:rtl/>
        </w:rPr>
        <w:tab/>
      </w:r>
      <w:r w:rsidR="00CC196A" w:rsidRPr="00CC196A">
        <w:rPr>
          <w:rFonts w:ascii="Calibri" w:hAnsi="Calibri" w:cs="Calibri"/>
          <w:sz w:val="24"/>
          <w:szCs w:val="24"/>
          <w:rtl/>
        </w:rPr>
        <w:tab/>
        <w:t>السنة الجامعية 2022/2023</w:t>
      </w:r>
    </w:p>
    <w:p w14:paraId="4578C068" w14:textId="042C1DBE" w:rsidR="00CC196A" w:rsidRPr="00CC196A" w:rsidRDefault="00CC196A" w:rsidP="00CC196A">
      <w:pPr>
        <w:bidi/>
        <w:jc w:val="both"/>
        <w:rPr>
          <w:rFonts w:ascii="Calibri" w:hAnsi="Calibri" w:cs="Calibri"/>
          <w:sz w:val="24"/>
          <w:szCs w:val="24"/>
          <w:rtl/>
        </w:rPr>
      </w:pPr>
      <w:r w:rsidRPr="00CC196A">
        <w:rPr>
          <w:rFonts w:ascii="Calibri" w:hAnsi="Calibri" w:cs="Calibri"/>
          <w:sz w:val="24"/>
          <w:szCs w:val="24"/>
          <w:rtl/>
        </w:rPr>
        <w:t>كلية العلوم الاقتصادية التجارية وعلوم التسيير</w:t>
      </w:r>
      <w:r w:rsidRPr="00CC196A">
        <w:rPr>
          <w:rFonts w:ascii="Calibri" w:hAnsi="Calibri" w:cs="Calibri"/>
          <w:sz w:val="24"/>
          <w:szCs w:val="24"/>
          <w:rtl/>
        </w:rPr>
        <w:tab/>
      </w:r>
      <w:r w:rsidRPr="00CC196A">
        <w:rPr>
          <w:rFonts w:ascii="Calibri" w:hAnsi="Calibri" w:cs="Calibri"/>
          <w:sz w:val="24"/>
          <w:szCs w:val="24"/>
          <w:rtl/>
        </w:rPr>
        <w:tab/>
      </w:r>
      <w:r w:rsidRPr="00CC196A">
        <w:rPr>
          <w:rFonts w:ascii="Calibri" w:hAnsi="Calibri" w:cs="Calibri"/>
          <w:sz w:val="24"/>
          <w:szCs w:val="24"/>
          <w:rtl/>
        </w:rPr>
        <w:tab/>
      </w:r>
      <w:r>
        <w:rPr>
          <w:rFonts w:ascii="Calibri" w:hAnsi="Calibri" w:cs="Calibri"/>
          <w:sz w:val="24"/>
          <w:szCs w:val="24"/>
          <w:rtl/>
        </w:rPr>
        <w:tab/>
      </w:r>
      <w:r>
        <w:rPr>
          <w:rFonts w:ascii="Calibri" w:hAnsi="Calibri" w:cs="Calibri"/>
          <w:sz w:val="24"/>
          <w:szCs w:val="24"/>
          <w:rtl/>
        </w:rPr>
        <w:tab/>
      </w:r>
      <w:r>
        <w:rPr>
          <w:rFonts w:ascii="Calibri" w:hAnsi="Calibri" w:cs="Calibri"/>
          <w:sz w:val="24"/>
          <w:szCs w:val="24"/>
          <w:rtl/>
        </w:rPr>
        <w:tab/>
      </w:r>
      <w:r>
        <w:rPr>
          <w:rFonts w:ascii="Calibri" w:hAnsi="Calibri" w:cs="Calibri"/>
          <w:sz w:val="24"/>
          <w:szCs w:val="24"/>
          <w:rtl/>
        </w:rPr>
        <w:tab/>
      </w:r>
      <w:r w:rsidRPr="00CC196A">
        <w:rPr>
          <w:rFonts w:ascii="Calibri" w:hAnsi="Calibri" w:cs="Calibri"/>
          <w:sz w:val="24"/>
          <w:szCs w:val="24"/>
          <w:rtl/>
        </w:rPr>
        <w:tab/>
        <w:t>قسم العلوم التجارية</w:t>
      </w:r>
    </w:p>
    <w:p w14:paraId="7A24262D" w14:textId="426F69BE" w:rsidR="00CC196A" w:rsidRDefault="00CC196A" w:rsidP="00CC196A">
      <w:pPr>
        <w:bidi/>
        <w:jc w:val="both"/>
        <w:rPr>
          <w:rFonts w:ascii="Calibri" w:hAnsi="Calibri" w:cs="Calibri"/>
          <w:sz w:val="24"/>
          <w:szCs w:val="24"/>
          <w:rtl/>
        </w:rPr>
      </w:pPr>
      <w:r w:rsidRPr="00CC196A">
        <w:rPr>
          <w:rFonts w:ascii="Calibri" w:hAnsi="Calibri" w:cs="Calibri"/>
          <w:sz w:val="24"/>
          <w:szCs w:val="24"/>
          <w:rtl/>
        </w:rPr>
        <w:t xml:space="preserve">السنة الثانية شعبة علوم تجارية  </w:t>
      </w:r>
    </w:p>
    <w:p w14:paraId="473867C1" w14:textId="77777777" w:rsidR="00CC196A" w:rsidRPr="00CC196A" w:rsidRDefault="00CC196A" w:rsidP="00CC196A">
      <w:pPr>
        <w:bidi/>
        <w:jc w:val="both"/>
        <w:rPr>
          <w:rFonts w:ascii="Calibri" w:hAnsi="Calibri" w:cs="Calibri"/>
          <w:sz w:val="24"/>
          <w:szCs w:val="24"/>
          <w:rtl/>
        </w:rPr>
      </w:pPr>
    </w:p>
    <w:p w14:paraId="04E66353" w14:textId="12270FFA" w:rsidR="00CC196A" w:rsidRDefault="00CC196A" w:rsidP="00CC196A">
      <w:pPr>
        <w:bidi/>
        <w:jc w:val="center"/>
        <w:rPr>
          <w:rFonts w:asciiTheme="majorHAnsi" w:hAnsiTheme="majorHAnsi" w:cstheme="majorHAnsi"/>
          <w:b/>
          <w:bCs/>
          <w:sz w:val="32"/>
          <w:szCs w:val="32"/>
          <w:u w:val="single"/>
          <w:rtl/>
        </w:rPr>
      </w:pPr>
      <w:r w:rsidRPr="00CC196A">
        <w:rPr>
          <w:rFonts w:asciiTheme="majorHAnsi" w:hAnsiTheme="majorHAnsi" w:cstheme="majorHAnsi"/>
          <w:b/>
          <w:bCs/>
          <w:sz w:val="32"/>
          <w:szCs w:val="32"/>
          <w:u w:val="single"/>
          <w:rtl/>
        </w:rPr>
        <w:t>السلسلة الأولى</w:t>
      </w:r>
    </w:p>
    <w:p w14:paraId="7F9C91D4" w14:textId="0CAF3E93" w:rsidR="009F3EDC" w:rsidRDefault="00A452A1" w:rsidP="009F3EDC">
      <w:pPr>
        <w:bidi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Theme="majorHAnsi" w:hAnsiTheme="majorHAnsi" w:cstheme="majorHAnsi" w:hint="cs"/>
          <w:b/>
          <w:bCs/>
          <w:sz w:val="32"/>
          <w:szCs w:val="32"/>
          <w:u w:val="single"/>
          <w:rtl/>
        </w:rPr>
        <w:t>تمرين:</w:t>
      </w:r>
      <w:r>
        <w:rPr>
          <w:rFonts w:asciiTheme="majorHAnsi" w:hAnsiTheme="majorHAnsi" w:cstheme="majorHAnsi" w:hint="cs"/>
          <w:sz w:val="32"/>
          <w:szCs w:val="32"/>
          <w:rtl/>
        </w:rPr>
        <w:t xml:space="preserve"> </w:t>
      </w:r>
      <w:r w:rsidRPr="00A452A1">
        <w:rPr>
          <w:rFonts w:ascii="Traditional Arabic" w:hAnsi="Traditional Arabic" w:cs="Traditional Arabic" w:hint="cs"/>
          <w:sz w:val="28"/>
          <w:szCs w:val="28"/>
          <w:rtl/>
        </w:rPr>
        <w:t>اختر الإجابة أو ال</w:t>
      </w:r>
      <w:r>
        <w:rPr>
          <w:rFonts w:ascii="Traditional Arabic" w:hAnsi="Traditional Arabic" w:cs="Traditional Arabic" w:hint="cs"/>
          <w:sz w:val="28"/>
          <w:szCs w:val="28"/>
          <w:rtl/>
        </w:rPr>
        <w:t>إجابات الصحيحة في كل حالة:</w:t>
      </w:r>
    </w:p>
    <w:p w14:paraId="3A004D2B" w14:textId="45439AC5" w:rsidR="00A452A1" w:rsidRPr="00784315" w:rsidRDefault="00A452A1" w:rsidP="00A452A1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2"/>
          <w:szCs w:val="32"/>
        </w:rPr>
      </w:pPr>
      <w:r w:rsidRPr="007843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تطبيق المحاسبة التحليلية في المؤسسات إجباري:</w:t>
      </w:r>
    </w:p>
    <w:p w14:paraId="4D9545DE" w14:textId="11990059" w:rsidR="00A452A1" w:rsidRDefault="00A452A1" w:rsidP="00A452A1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صحيح</w:t>
      </w:r>
    </w:p>
    <w:p w14:paraId="35AF0C22" w14:textId="3807AE35" w:rsidR="00A452A1" w:rsidRDefault="00A452A1" w:rsidP="00A452A1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خطأ</w:t>
      </w:r>
    </w:p>
    <w:p w14:paraId="19B3079D" w14:textId="164EFD2C" w:rsidR="00A452A1" w:rsidRPr="00784315" w:rsidRDefault="00A452A1" w:rsidP="00A452A1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2"/>
          <w:szCs w:val="32"/>
        </w:rPr>
      </w:pPr>
      <w:r w:rsidRPr="007843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المحاسبة التحليلية:</w:t>
      </w:r>
    </w:p>
    <w:p w14:paraId="6F5331E9" w14:textId="3935CB87" w:rsidR="00A452A1" w:rsidRDefault="00A452A1" w:rsidP="00A452A1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هي أداة لمراقبة التسيير.</w:t>
      </w:r>
    </w:p>
    <w:p w14:paraId="5FCDBAB5" w14:textId="28794119" w:rsidR="00A452A1" w:rsidRDefault="00A452A1" w:rsidP="00A452A1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تهم خاصة الأطراف الخارجية.</w:t>
      </w:r>
    </w:p>
    <w:p w14:paraId="4EC31DF2" w14:textId="58BDC555" w:rsidR="00A452A1" w:rsidRDefault="00A452A1" w:rsidP="00A452A1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تعطي صورة عامة فقط حول نشاط المؤسسة.</w:t>
      </w:r>
    </w:p>
    <w:p w14:paraId="03482C25" w14:textId="286A52FD" w:rsidR="00A452A1" w:rsidRDefault="00A452A1" w:rsidP="00A452A1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تسمح بحساب مختلف التكاليف لوظائف المؤسسة والنتائج التي تحققها المنتجات بشكل منفصل.</w:t>
      </w:r>
    </w:p>
    <w:p w14:paraId="11FE8476" w14:textId="7347EFA2" w:rsidR="00A452A1" w:rsidRDefault="00A452A1" w:rsidP="00A452A1">
      <w:pPr>
        <w:pStyle w:val="Paragraphedeliste"/>
        <w:numPr>
          <w:ilvl w:val="0"/>
          <w:numId w:val="3"/>
        </w:num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تقوم بتحليل ظروف الاستغلال الداخلية للمؤسسة، الماضية، الحاضرة والمستقبلية</w:t>
      </w:r>
    </w:p>
    <w:p w14:paraId="063FD43E" w14:textId="6665946E" w:rsidR="00A452A1" w:rsidRPr="00784315" w:rsidRDefault="00A452A1" w:rsidP="00A452A1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2"/>
          <w:szCs w:val="32"/>
        </w:rPr>
      </w:pPr>
      <w:r w:rsidRPr="007843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المصطلح "سعر" مرادف لمصطلح "تكلفة"</w:t>
      </w:r>
    </w:p>
    <w:p w14:paraId="61FC2CFB" w14:textId="20CCFC38" w:rsidR="00A452A1" w:rsidRDefault="00A452A1" w:rsidP="00A452A1">
      <w:pPr>
        <w:pStyle w:val="Paragraphedeliste"/>
        <w:numPr>
          <w:ilvl w:val="0"/>
          <w:numId w:val="4"/>
        </w:num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صحيح</w:t>
      </w:r>
    </w:p>
    <w:p w14:paraId="72F4A936" w14:textId="3500F17E" w:rsidR="00A452A1" w:rsidRDefault="00A452A1" w:rsidP="00A452A1">
      <w:pPr>
        <w:pStyle w:val="Paragraphedeliste"/>
        <w:numPr>
          <w:ilvl w:val="0"/>
          <w:numId w:val="4"/>
        </w:num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خطأ</w:t>
      </w:r>
    </w:p>
    <w:p w14:paraId="003D4818" w14:textId="31CE0823" w:rsidR="00A452A1" w:rsidRPr="00784315" w:rsidRDefault="00A452A1" w:rsidP="00A452A1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2"/>
          <w:szCs w:val="32"/>
        </w:rPr>
      </w:pPr>
      <w:r w:rsidRPr="007843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المحاسبة التحليلية تسمح بتقييم بعض بنود الميزانية</w:t>
      </w:r>
    </w:p>
    <w:p w14:paraId="481AE49B" w14:textId="0A9ABBA5" w:rsidR="00A452A1" w:rsidRDefault="00A452A1" w:rsidP="00A452A1">
      <w:pPr>
        <w:pStyle w:val="Paragraphedeliste"/>
        <w:numPr>
          <w:ilvl w:val="0"/>
          <w:numId w:val="5"/>
        </w:numPr>
        <w:bidi/>
        <w:rPr>
          <w:rFonts w:ascii="Traditional Arabic" w:hAnsi="Traditional Arabic" w:cs="Traditional Arabic"/>
          <w:sz w:val="32"/>
          <w:szCs w:val="32"/>
        </w:rPr>
      </w:pP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التثبيتات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التي تنتجها المؤسسة.</w:t>
      </w:r>
    </w:p>
    <w:p w14:paraId="6D1D62B5" w14:textId="5A6B6EB4" w:rsidR="00A12D82" w:rsidRDefault="00A12D82" w:rsidP="00A12D82">
      <w:pPr>
        <w:pStyle w:val="Paragraphedeliste"/>
        <w:numPr>
          <w:ilvl w:val="0"/>
          <w:numId w:val="5"/>
        </w:num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المخزون.</w:t>
      </w:r>
    </w:p>
    <w:p w14:paraId="6682C3D5" w14:textId="2C3B01C7" w:rsidR="00A12D82" w:rsidRDefault="00A12D82" w:rsidP="00A12D82">
      <w:pPr>
        <w:pStyle w:val="Paragraphedeliste"/>
        <w:numPr>
          <w:ilvl w:val="0"/>
          <w:numId w:val="5"/>
        </w:num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تكلفة اقتناء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التثبيتات</w:t>
      </w:r>
      <w:proofErr w:type="spellEnd"/>
    </w:p>
    <w:p w14:paraId="6EBFE8FC" w14:textId="3E76E460" w:rsidR="00A12D82" w:rsidRPr="00784315" w:rsidRDefault="00A12D82" w:rsidP="00A12D82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2"/>
          <w:szCs w:val="32"/>
        </w:rPr>
      </w:pPr>
      <w:r w:rsidRPr="007843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تنظيم المحاسبة </w:t>
      </w:r>
      <w:proofErr w:type="gramStart"/>
      <w:r w:rsidRPr="007843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التحليلية :</w:t>
      </w:r>
      <w:proofErr w:type="gramEnd"/>
    </w:p>
    <w:p w14:paraId="7224137C" w14:textId="21603B5C" w:rsidR="00A12D82" w:rsidRDefault="00A12D82" w:rsidP="00A12D82">
      <w:pPr>
        <w:pStyle w:val="Paragraphedeliste"/>
        <w:numPr>
          <w:ilvl w:val="0"/>
          <w:numId w:val="6"/>
        </w:num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موجود في جميع المؤسسات بغض النظر عن نشاطها</w:t>
      </w:r>
    </w:p>
    <w:p w14:paraId="03D1F3D8" w14:textId="5CE09E8C" w:rsidR="00A12D82" w:rsidRDefault="00A12D82" w:rsidP="00A12D82">
      <w:pPr>
        <w:pStyle w:val="Paragraphedeliste"/>
        <w:numPr>
          <w:ilvl w:val="0"/>
          <w:numId w:val="6"/>
        </w:num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تخضع لقوانين.</w:t>
      </w:r>
    </w:p>
    <w:p w14:paraId="302F4EC8" w14:textId="78D1262E" w:rsidR="00A12D82" w:rsidRDefault="00A12D82" w:rsidP="00A12D82">
      <w:pPr>
        <w:pStyle w:val="Paragraphedeliste"/>
        <w:numPr>
          <w:ilvl w:val="0"/>
          <w:numId w:val="6"/>
        </w:num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تتغير حسب دورة استغلال المؤسسة وحسب هيكلها الاقتصادي.</w:t>
      </w:r>
    </w:p>
    <w:p w14:paraId="0AB2A9DA" w14:textId="032ABC7B" w:rsidR="00CD2E25" w:rsidRDefault="00CD2E25" w:rsidP="00CD2E25">
      <w:pPr>
        <w:pStyle w:val="Paragraphedeliste"/>
        <w:bidi/>
        <w:ind w:left="1080"/>
        <w:rPr>
          <w:rFonts w:ascii="Traditional Arabic" w:hAnsi="Traditional Arabic" w:cs="Traditional Arabic"/>
          <w:sz w:val="32"/>
          <w:szCs w:val="32"/>
          <w:rtl/>
        </w:rPr>
      </w:pPr>
    </w:p>
    <w:p w14:paraId="198D7B93" w14:textId="63CA756B" w:rsidR="00CD2E25" w:rsidRDefault="00CD2E25" w:rsidP="00CD2E25">
      <w:pPr>
        <w:pStyle w:val="Paragraphedeliste"/>
        <w:bidi/>
        <w:ind w:left="1080"/>
        <w:rPr>
          <w:rFonts w:ascii="Traditional Arabic" w:hAnsi="Traditional Arabic" w:cs="Traditional Arabic"/>
          <w:sz w:val="32"/>
          <w:szCs w:val="32"/>
          <w:rtl/>
        </w:rPr>
      </w:pPr>
    </w:p>
    <w:p w14:paraId="6907717F" w14:textId="77777777" w:rsidR="00CD2E25" w:rsidRDefault="00CD2E25" w:rsidP="00CD2E25">
      <w:pPr>
        <w:pStyle w:val="Paragraphedeliste"/>
        <w:bidi/>
        <w:ind w:left="1080"/>
        <w:rPr>
          <w:rFonts w:ascii="Traditional Arabic" w:hAnsi="Traditional Arabic" w:cs="Traditional Arabic"/>
          <w:sz w:val="32"/>
          <w:szCs w:val="32"/>
        </w:rPr>
      </w:pPr>
    </w:p>
    <w:p w14:paraId="14BCA3FF" w14:textId="07075891" w:rsidR="00A12D82" w:rsidRPr="00784315" w:rsidRDefault="00A12D82" w:rsidP="00A12D82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2"/>
          <w:szCs w:val="32"/>
        </w:rPr>
      </w:pPr>
      <w:r w:rsidRPr="007843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مدة حساب التكاليف.</w:t>
      </w:r>
    </w:p>
    <w:p w14:paraId="3FDD6241" w14:textId="05663E98" w:rsidR="00A12D82" w:rsidRDefault="00A12D82" w:rsidP="00A12D82">
      <w:pPr>
        <w:pStyle w:val="Paragraphedeliste"/>
        <w:numPr>
          <w:ilvl w:val="0"/>
          <w:numId w:val="7"/>
        </w:num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سنويا</w:t>
      </w:r>
    </w:p>
    <w:p w14:paraId="3E7C02DE" w14:textId="1A99E800" w:rsidR="00A12D82" w:rsidRDefault="00A12D82" w:rsidP="00A12D82">
      <w:pPr>
        <w:pStyle w:val="Paragraphedeliste"/>
        <w:numPr>
          <w:ilvl w:val="0"/>
          <w:numId w:val="7"/>
        </w:num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شهريا</w:t>
      </w:r>
    </w:p>
    <w:p w14:paraId="1D6610FC" w14:textId="245FF4CC" w:rsidR="00A12D82" w:rsidRDefault="00A12D82" w:rsidP="00A12D82">
      <w:pPr>
        <w:pStyle w:val="Paragraphedeliste"/>
        <w:numPr>
          <w:ilvl w:val="0"/>
          <w:numId w:val="7"/>
        </w:num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كل 3 أشهر</w:t>
      </w:r>
    </w:p>
    <w:p w14:paraId="103F05D6" w14:textId="1E3FC845" w:rsidR="00A12D82" w:rsidRPr="00784315" w:rsidRDefault="00A12D82" w:rsidP="00A12D82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b/>
          <w:bCs/>
          <w:sz w:val="32"/>
          <w:szCs w:val="32"/>
        </w:rPr>
      </w:pPr>
      <w:r w:rsidRPr="007843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الأعباء المدرجة في المحاسبة المالية والتي يتم </w:t>
      </w:r>
      <w:proofErr w:type="spellStart"/>
      <w:r w:rsidRPr="007843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اسبعادها</w:t>
      </w:r>
      <w:proofErr w:type="spellEnd"/>
      <w:r w:rsidRPr="007843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في المحاسبة التح</w:t>
      </w:r>
      <w:r w:rsidR="00853DFD" w:rsidRPr="0078431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ليلية تتمثل في:</w:t>
      </w:r>
    </w:p>
    <w:p w14:paraId="0FF2C667" w14:textId="520B8B0A" w:rsidR="00853DFD" w:rsidRDefault="00853DFD" w:rsidP="00853DFD">
      <w:pPr>
        <w:pStyle w:val="Paragraphedeliste"/>
        <w:numPr>
          <w:ilvl w:val="0"/>
          <w:numId w:val="8"/>
        </w:num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الأعباء غير المعتبرة.</w:t>
      </w:r>
    </w:p>
    <w:p w14:paraId="1FE1D614" w14:textId="154643C6" w:rsidR="00853DFD" w:rsidRDefault="00853DFD" w:rsidP="00853DFD">
      <w:pPr>
        <w:pStyle w:val="Paragraphedeliste"/>
        <w:numPr>
          <w:ilvl w:val="0"/>
          <w:numId w:val="8"/>
        </w:num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الأعباء الإضافية</w:t>
      </w:r>
    </w:p>
    <w:p w14:paraId="39D453E6" w14:textId="4DFC9529" w:rsidR="00853DFD" w:rsidRDefault="00853DFD" w:rsidP="00853DFD">
      <w:pPr>
        <w:pStyle w:val="Paragraphedeliste"/>
        <w:numPr>
          <w:ilvl w:val="0"/>
          <w:numId w:val="8"/>
        </w:num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الأعباء المعتبرة.</w:t>
      </w:r>
    </w:p>
    <w:p w14:paraId="6DF31C0F" w14:textId="2CBDFD1A" w:rsidR="00853DFD" w:rsidRPr="00853DFD" w:rsidRDefault="00853DFD" w:rsidP="00853DFD">
      <w:pPr>
        <w:pStyle w:val="Paragraphedeliste"/>
        <w:bidi/>
        <w:rPr>
          <w:rFonts w:ascii="Traditional Arabic" w:hAnsi="Traditional Arabic" w:cs="Traditional Arabic"/>
          <w:sz w:val="32"/>
          <w:szCs w:val="32"/>
        </w:rPr>
      </w:pPr>
    </w:p>
    <w:p w14:paraId="7103D437" w14:textId="24F17145" w:rsidR="00A452A1" w:rsidRDefault="00A452A1" w:rsidP="00A452A1">
      <w:pPr>
        <w:bidi/>
        <w:rPr>
          <w:rFonts w:ascii="Traditional Arabic" w:hAnsi="Traditional Arabic" w:cs="Traditional Arabic"/>
          <w:sz w:val="32"/>
          <w:szCs w:val="32"/>
          <w:rtl/>
        </w:rPr>
      </w:pPr>
    </w:p>
    <w:p w14:paraId="5D93343D" w14:textId="77777777" w:rsidR="00A452A1" w:rsidRPr="00A452A1" w:rsidRDefault="00A452A1" w:rsidP="00A452A1">
      <w:pPr>
        <w:bidi/>
        <w:rPr>
          <w:rFonts w:ascii="Traditional Arabic" w:hAnsi="Traditional Arabic" w:cs="Traditional Arabic" w:hint="cs"/>
          <w:sz w:val="32"/>
          <w:szCs w:val="32"/>
        </w:rPr>
      </w:pPr>
    </w:p>
    <w:sectPr w:rsidR="00A452A1" w:rsidRPr="00A452A1" w:rsidSect="00CC196A">
      <w:pgSz w:w="11906" w:h="16838"/>
      <w:pgMar w:top="426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1C4B"/>
    <w:multiLevelType w:val="hybridMultilevel"/>
    <w:tmpl w:val="DDE6793E"/>
    <w:lvl w:ilvl="0" w:tplc="72C0B0B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C284B"/>
    <w:multiLevelType w:val="hybridMultilevel"/>
    <w:tmpl w:val="1766112C"/>
    <w:lvl w:ilvl="0" w:tplc="468E2AD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C46BC"/>
    <w:multiLevelType w:val="hybridMultilevel"/>
    <w:tmpl w:val="125EE564"/>
    <w:lvl w:ilvl="0" w:tplc="1E40CD5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E717A"/>
    <w:multiLevelType w:val="hybridMultilevel"/>
    <w:tmpl w:val="3D02D340"/>
    <w:lvl w:ilvl="0" w:tplc="1026FCE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B02BC5"/>
    <w:multiLevelType w:val="hybridMultilevel"/>
    <w:tmpl w:val="66FC7260"/>
    <w:lvl w:ilvl="0" w:tplc="930A61B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AD6831"/>
    <w:multiLevelType w:val="hybridMultilevel"/>
    <w:tmpl w:val="9C3AE6EA"/>
    <w:lvl w:ilvl="0" w:tplc="E670DCD6">
      <w:start w:val="1"/>
      <w:numFmt w:val="decimal"/>
      <w:lvlText w:val="%1-"/>
      <w:lvlJc w:val="left"/>
      <w:pPr>
        <w:ind w:left="720" w:hanging="360"/>
      </w:pPr>
      <w:rPr>
        <w:rFonts w:ascii="Traditional Arabic" w:hAnsi="Traditional Arabic" w:cs="Traditional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34541"/>
    <w:multiLevelType w:val="hybridMultilevel"/>
    <w:tmpl w:val="F10C02DA"/>
    <w:lvl w:ilvl="0" w:tplc="1AEACAC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E24EED"/>
    <w:multiLevelType w:val="hybridMultilevel"/>
    <w:tmpl w:val="9E247C98"/>
    <w:lvl w:ilvl="0" w:tplc="BE6E309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6480278">
    <w:abstractNumId w:val="5"/>
  </w:num>
  <w:num w:numId="2" w16cid:durableId="1801027435">
    <w:abstractNumId w:val="6"/>
  </w:num>
  <w:num w:numId="3" w16cid:durableId="145049719">
    <w:abstractNumId w:val="4"/>
  </w:num>
  <w:num w:numId="4" w16cid:durableId="1864587584">
    <w:abstractNumId w:val="0"/>
  </w:num>
  <w:num w:numId="5" w16cid:durableId="217598003">
    <w:abstractNumId w:val="3"/>
  </w:num>
  <w:num w:numId="6" w16cid:durableId="977028317">
    <w:abstractNumId w:val="2"/>
  </w:num>
  <w:num w:numId="7" w16cid:durableId="46337730">
    <w:abstractNumId w:val="7"/>
  </w:num>
  <w:num w:numId="8" w16cid:durableId="1239708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6A"/>
    <w:rsid w:val="00784315"/>
    <w:rsid w:val="00853DFD"/>
    <w:rsid w:val="009F3EDC"/>
    <w:rsid w:val="00A12D82"/>
    <w:rsid w:val="00A452A1"/>
    <w:rsid w:val="00CC196A"/>
    <w:rsid w:val="00CD2E25"/>
    <w:rsid w:val="00DF7087"/>
    <w:rsid w:val="00D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CD0E"/>
  <w15:chartTrackingRefBased/>
  <w15:docId w15:val="{13FE615C-B0E0-44A7-BED4-104015B5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5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youcef</dc:creator>
  <cp:keywords/>
  <dc:description/>
  <cp:lastModifiedBy>youcef</cp:lastModifiedBy>
  <cp:revision>2</cp:revision>
  <dcterms:created xsi:type="dcterms:W3CDTF">2022-09-20T22:08:00Z</dcterms:created>
  <dcterms:modified xsi:type="dcterms:W3CDTF">2022-09-20T22:49:00Z</dcterms:modified>
</cp:coreProperties>
</file>