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EC3" w:rsidRPr="00662DB2" w:rsidRDefault="008A430F" w:rsidP="00662DB2">
      <w:pPr>
        <w:jc w:val="center"/>
        <w:rPr>
          <w:rFonts w:asciiTheme="majorBidi" w:hAnsiTheme="majorBidi" w:cstheme="majorBidi"/>
          <w:b/>
          <w:bCs/>
          <w:sz w:val="28"/>
          <w:szCs w:val="28"/>
          <w:lang w:eastAsia="en-US"/>
        </w:rPr>
      </w:pPr>
      <w:r w:rsidRPr="008A430F">
        <w:rPr>
          <w:rFonts w:asciiTheme="majorBidi" w:hAnsiTheme="majorBidi" w:cstheme="majorBidi"/>
          <w:b/>
          <w:bCs/>
          <w:sz w:val="28"/>
          <w:szCs w:val="28"/>
          <w:lang w:eastAsia="en-US"/>
        </w:rPr>
        <w:t>Exercices d’évaluation corrigés</w:t>
      </w:r>
    </w:p>
    <w:p w:rsidR="008E4EC3" w:rsidRDefault="008E4EC3" w:rsidP="008E4EC3">
      <w:pPr>
        <w:rPr>
          <w:rFonts w:asciiTheme="majorBidi" w:hAnsiTheme="majorBidi" w:cstheme="majorBidi"/>
          <w:sz w:val="24"/>
          <w:szCs w:val="24"/>
          <w:lang w:eastAsia="en-US"/>
        </w:rPr>
      </w:pPr>
      <w:r w:rsidRPr="008E4EC3">
        <w:rPr>
          <w:rFonts w:asciiTheme="majorBidi" w:hAnsiTheme="majorBidi" w:cstheme="majorBidi"/>
          <w:b/>
          <w:bCs/>
          <w:sz w:val="24"/>
          <w:szCs w:val="24"/>
          <w:lang w:eastAsia="en-US"/>
        </w:rPr>
        <w:t>Exercice.01</w:t>
      </w:r>
      <w:r>
        <w:rPr>
          <w:rFonts w:asciiTheme="majorBidi" w:hAnsiTheme="majorBidi" w:cstheme="majorBidi"/>
          <w:sz w:val="24"/>
          <w:szCs w:val="24"/>
          <w:lang w:eastAsia="en-US"/>
        </w:rPr>
        <w:t xml:space="preserve"> </w:t>
      </w:r>
      <w:r w:rsidRPr="008E4EC3">
        <w:rPr>
          <w:rFonts w:asciiTheme="majorBidi" w:hAnsiTheme="majorBidi" w:cstheme="majorBidi"/>
          <w:b/>
          <w:bCs/>
          <w:sz w:val="24"/>
          <w:szCs w:val="24"/>
          <w:lang w:eastAsia="en-US"/>
        </w:rPr>
        <w:t>Question à réponse directe</w:t>
      </w:r>
    </w:p>
    <w:p w:rsidR="008E4EC3" w:rsidRPr="008E4EC3" w:rsidRDefault="008E4EC3" w:rsidP="008E4EC3">
      <w:pPr>
        <w:pStyle w:val="Paragraphedeliste"/>
        <w:numPr>
          <w:ilvl w:val="0"/>
          <w:numId w:val="10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8E4EC3">
        <w:rPr>
          <w:rFonts w:asciiTheme="majorBidi" w:hAnsiTheme="majorBidi" w:cstheme="majorBidi"/>
          <w:sz w:val="24"/>
          <w:szCs w:val="24"/>
        </w:rPr>
        <w:t xml:space="preserve">Comment vérifier les propriétés  et </w:t>
      </w:r>
      <w:r w:rsidR="00420B14">
        <w:rPr>
          <w:rFonts w:asciiTheme="majorBidi" w:hAnsiTheme="majorBidi" w:cstheme="majorBidi"/>
          <w:sz w:val="24"/>
          <w:szCs w:val="24"/>
        </w:rPr>
        <w:t xml:space="preserve">la </w:t>
      </w:r>
      <w:r w:rsidRPr="008E4EC3">
        <w:rPr>
          <w:rFonts w:asciiTheme="majorBidi" w:hAnsiTheme="majorBidi" w:cstheme="majorBidi"/>
          <w:sz w:val="24"/>
          <w:szCs w:val="24"/>
        </w:rPr>
        <w:t>compatibilité des matériaux de conditionnement avec les médicaments qu’ils vont contenir ?</w:t>
      </w:r>
    </w:p>
    <w:p w:rsidR="008E4EC3" w:rsidRPr="008E4EC3" w:rsidRDefault="008E4EC3" w:rsidP="008E4EC3">
      <w:pPr>
        <w:pStyle w:val="Paragraphedeliste"/>
        <w:numPr>
          <w:ilvl w:val="0"/>
          <w:numId w:val="10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E4EC3">
        <w:rPr>
          <w:rFonts w:asciiTheme="majorBidi" w:hAnsiTheme="majorBidi" w:cstheme="majorBidi"/>
          <w:sz w:val="24"/>
          <w:szCs w:val="24"/>
        </w:rPr>
        <w:t>Citez les différ</w:t>
      </w:r>
      <w:r w:rsidR="00420B14">
        <w:rPr>
          <w:rFonts w:asciiTheme="majorBidi" w:hAnsiTheme="majorBidi" w:cstheme="majorBidi"/>
          <w:sz w:val="24"/>
          <w:szCs w:val="24"/>
        </w:rPr>
        <w:t>ents types de verre utilisé en p</w:t>
      </w:r>
      <w:r w:rsidRPr="008E4EC3">
        <w:rPr>
          <w:rFonts w:asciiTheme="majorBidi" w:hAnsiTheme="majorBidi" w:cstheme="majorBidi"/>
          <w:sz w:val="24"/>
          <w:szCs w:val="24"/>
        </w:rPr>
        <w:t xml:space="preserve">harmacie </w:t>
      </w:r>
    </w:p>
    <w:p w:rsidR="008E4EC3" w:rsidRDefault="008E4EC3" w:rsidP="008E4EC3">
      <w:pPr>
        <w:rPr>
          <w:rFonts w:asciiTheme="majorBidi" w:hAnsiTheme="majorBidi" w:cstheme="majorBidi"/>
          <w:b/>
          <w:bCs/>
          <w:sz w:val="24"/>
          <w:szCs w:val="24"/>
          <w:lang w:eastAsia="en-US"/>
        </w:rPr>
      </w:pPr>
      <w:r w:rsidRPr="008E4EC3">
        <w:rPr>
          <w:rFonts w:asciiTheme="majorBidi" w:hAnsiTheme="majorBidi" w:cstheme="majorBidi"/>
          <w:b/>
          <w:bCs/>
          <w:sz w:val="24"/>
          <w:szCs w:val="24"/>
          <w:lang w:eastAsia="en-US"/>
        </w:rPr>
        <w:t xml:space="preserve">Solution 01. </w:t>
      </w:r>
    </w:p>
    <w:p w:rsidR="00681481" w:rsidRPr="00841039" w:rsidRDefault="008E4EC3" w:rsidP="00841039">
      <w:pPr>
        <w:pStyle w:val="Paragraphedeliste"/>
        <w:numPr>
          <w:ilvl w:val="0"/>
          <w:numId w:val="1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41039">
        <w:rPr>
          <w:rFonts w:asciiTheme="majorBidi" w:hAnsiTheme="majorBidi" w:cstheme="majorBidi"/>
          <w:sz w:val="24"/>
          <w:szCs w:val="24"/>
        </w:rPr>
        <w:t>L’industrie pharmac</w:t>
      </w:r>
      <w:r w:rsidR="00420B14">
        <w:rPr>
          <w:rFonts w:asciiTheme="majorBidi" w:hAnsiTheme="majorBidi" w:cstheme="majorBidi"/>
          <w:sz w:val="24"/>
          <w:szCs w:val="24"/>
        </w:rPr>
        <w:t xml:space="preserve">eutique vérifie les propriétés </w:t>
      </w:r>
      <w:r w:rsidRPr="00841039">
        <w:rPr>
          <w:rFonts w:asciiTheme="majorBidi" w:hAnsiTheme="majorBidi" w:cstheme="majorBidi"/>
          <w:sz w:val="24"/>
          <w:szCs w:val="24"/>
        </w:rPr>
        <w:t xml:space="preserve">et </w:t>
      </w:r>
      <w:r w:rsidR="00841039" w:rsidRPr="00841039">
        <w:rPr>
          <w:rFonts w:asciiTheme="majorBidi" w:hAnsiTheme="majorBidi" w:cstheme="majorBidi"/>
          <w:sz w:val="24"/>
          <w:szCs w:val="24"/>
        </w:rPr>
        <w:t xml:space="preserve">la </w:t>
      </w:r>
      <w:r w:rsidRPr="00841039">
        <w:rPr>
          <w:rFonts w:asciiTheme="majorBidi" w:hAnsiTheme="majorBidi" w:cstheme="majorBidi"/>
          <w:sz w:val="24"/>
          <w:szCs w:val="24"/>
        </w:rPr>
        <w:t>compatibilité des matériaux de conditionnement avec les médicaments qu’ils vont contenir par les essais suivants :</w:t>
      </w:r>
    </w:p>
    <w:p w:rsidR="00841039" w:rsidRPr="00841039" w:rsidRDefault="00841039" w:rsidP="00841039">
      <w:pPr>
        <w:rPr>
          <w:rFonts w:asciiTheme="majorBidi" w:hAnsiTheme="majorBidi" w:cstheme="majorBidi"/>
          <w:sz w:val="24"/>
          <w:szCs w:val="24"/>
          <w:lang w:eastAsia="en-US"/>
        </w:rPr>
      </w:pPr>
      <w:r w:rsidRPr="00841039">
        <w:rPr>
          <w:rFonts w:asciiTheme="majorBidi" w:hAnsiTheme="majorBidi" w:cstheme="majorBidi"/>
          <w:sz w:val="24"/>
          <w:szCs w:val="24"/>
          <w:lang w:eastAsia="en-US"/>
        </w:rPr>
        <w:t xml:space="preserve">●Identification </w:t>
      </w:r>
    </w:p>
    <w:p w:rsidR="00841039" w:rsidRPr="00841039" w:rsidRDefault="00841039" w:rsidP="00841039">
      <w:pPr>
        <w:rPr>
          <w:rFonts w:asciiTheme="majorBidi" w:hAnsiTheme="majorBidi" w:cstheme="majorBidi"/>
          <w:sz w:val="24"/>
          <w:szCs w:val="24"/>
          <w:lang w:eastAsia="en-US"/>
        </w:rPr>
      </w:pPr>
      <w:r w:rsidRPr="00841039">
        <w:rPr>
          <w:rFonts w:asciiTheme="majorBidi" w:hAnsiTheme="majorBidi" w:cstheme="majorBidi"/>
          <w:sz w:val="24"/>
          <w:szCs w:val="24"/>
          <w:lang w:eastAsia="en-US"/>
        </w:rPr>
        <w:t xml:space="preserve">●Essais mécaniques </w:t>
      </w:r>
    </w:p>
    <w:p w:rsidR="00841039" w:rsidRPr="00841039" w:rsidRDefault="00841039" w:rsidP="00841039">
      <w:pPr>
        <w:rPr>
          <w:rFonts w:asciiTheme="majorBidi" w:hAnsiTheme="majorBidi" w:cstheme="majorBidi"/>
          <w:sz w:val="24"/>
          <w:szCs w:val="24"/>
          <w:lang w:eastAsia="en-US"/>
        </w:rPr>
      </w:pPr>
      <w:r w:rsidRPr="00841039">
        <w:rPr>
          <w:rFonts w:asciiTheme="majorBidi" w:hAnsiTheme="majorBidi" w:cstheme="majorBidi"/>
          <w:sz w:val="24"/>
          <w:szCs w:val="24"/>
          <w:lang w:eastAsia="en-US"/>
        </w:rPr>
        <w:t xml:space="preserve">●Essais de transparence </w:t>
      </w:r>
    </w:p>
    <w:p w:rsidR="00841039" w:rsidRPr="00841039" w:rsidRDefault="00841039" w:rsidP="00841039">
      <w:pPr>
        <w:rPr>
          <w:rFonts w:asciiTheme="majorBidi" w:hAnsiTheme="majorBidi" w:cstheme="majorBidi"/>
          <w:sz w:val="24"/>
          <w:szCs w:val="24"/>
          <w:lang w:eastAsia="en-US"/>
        </w:rPr>
      </w:pPr>
      <w:r w:rsidRPr="00841039">
        <w:rPr>
          <w:rFonts w:asciiTheme="majorBidi" w:hAnsiTheme="majorBidi" w:cstheme="majorBidi"/>
          <w:sz w:val="24"/>
          <w:szCs w:val="24"/>
          <w:lang w:eastAsia="en-US"/>
        </w:rPr>
        <w:t xml:space="preserve">●Essais de perméabilité </w:t>
      </w:r>
    </w:p>
    <w:p w:rsidR="00841039" w:rsidRPr="00841039" w:rsidRDefault="00841039" w:rsidP="00841039">
      <w:pPr>
        <w:rPr>
          <w:rFonts w:asciiTheme="majorBidi" w:hAnsiTheme="majorBidi" w:cstheme="majorBidi"/>
          <w:sz w:val="24"/>
          <w:szCs w:val="24"/>
          <w:lang w:eastAsia="en-US"/>
        </w:rPr>
      </w:pPr>
      <w:r w:rsidRPr="00841039">
        <w:rPr>
          <w:rFonts w:asciiTheme="majorBidi" w:hAnsiTheme="majorBidi" w:cstheme="majorBidi"/>
          <w:sz w:val="24"/>
          <w:szCs w:val="24"/>
          <w:lang w:eastAsia="en-US"/>
        </w:rPr>
        <w:t xml:space="preserve">●Essais de résistance chimique </w:t>
      </w:r>
    </w:p>
    <w:p w:rsidR="00841039" w:rsidRPr="00841039" w:rsidRDefault="00841039" w:rsidP="00841039">
      <w:pPr>
        <w:rPr>
          <w:rFonts w:asciiTheme="majorBidi" w:hAnsiTheme="majorBidi" w:cstheme="majorBidi"/>
          <w:sz w:val="24"/>
          <w:szCs w:val="24"/>
          <w:lang w:eastAsia="en-US"/>
        </w:rPr>
      </w:pPr>
      <w:r w:rsidRPr="00841039">
        <w:rPr>
          <w:rFonts w:asciiTheme="majorBidi" w:hAnsiTheme="majorBidi" w:cstheme="majorBidi"/>
          <w:sz w:val="24"/>
          <w:szCs w:val="24"/>
          <w:lang w:eastAsia="en-US"/>
        </w:rPr>
        <w:t xml:space="preserve">●Essais d’innocuité </w:t>
      </w:r>
    </w:p>
    <w:p w:rsidR="00841039" w:rsidRDefault="00841039" w:rsidP="00624CB1">
      <w:pPr>
        <w:rPr>
          <w:rFonts w:asciiTheme="majorBidi" w:hAnsiTheme="majorBidi" w:cstheme="majorBidi"/>
          <w:sz w:val="24"/>
          <w:szCs w:val="24"/>
          <w:lang w:eastAsia="en-US"/>
        </w:rPr>
      </w:pPr>
      <w:r w:rsidRPr="00841039">
        <w:rPr>
          <w:rFonts w:asciiTheme="majorBidi" w:hAnsiTheme="majorBidi" w:cstheme="majorBidi"/>
          <w:sz w:val="24"/>
          <w:szCs w:val="24"/>
          <w:lang w:eastAsia="en-US"/>
        </w:rPr>
        <w:t>●Essais de conservation</w:t>
      </w:r>
    </w:p>
    <w:p w:rsidR="00841039" w:rsidRPr="00624CB1" w:rsidRDefault="00841039" w:rsidP="00624CB1">
      <w:pPr>
        <w:pStyle w:val="Paragraphedeliste"/>
        <w:numPr>
          <w:ilvl w:val="0"/>
          <w:numId w:val="1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</w:t>
      </w:r>
      <w:r w:rsidRPr="00841039">
        <w:rPr>
          <w:rFonts w:asciiTheme="majorBidi" w:hAnsiTheme="majorBidi" w:cstheme="majorBidi"/>
          <w:sz w:val="24"/>
          <w:szCs w:val="24"/>
        </w:rPr>
        <w:t>es différents types de verre utilisé en Pharmacie</w:t>
      </w:r>
      <w:r>
        <w:rPr>
          <w:rFonts w:asciiTheme="majorBidi" w:hAnsiTheme="majorBidi" w:cstheme="majorBidi"/>
          <w:sz w:val="24"/>
          <w:szCs w:val="24"/>
        </w:rPr>
        <w:t> :</w:t>
      </w:r>
    </w:p>
    <w:p w:rsidR="00841039" w:rsidRPr="007115A7" w:rsidRDefault="00841039" w:rsidP="00841039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115A7">
        <w:rPr>
          <w:rFonts w:asciiTheme="majorBidi" w:hAnsiTheme="majorBidi" w:cstheme="majorBidi"/>
          <w:sz w:val="24"/>
          <w:szCs w:val="24"/>
        </w:rPr>
        <w:t>●</w:t>
      </w:r>
      <w:r w:rsidRPr="007115A7">
        <w:rPr>
          <w:rFonts w:asciiTheme="majorBidi" w:hAnsiTheme="majorBidi" w:cstheme="majorBidi"/>
          <w:b/>
          <w:bCs/>
          <w:sz w:val="24"/>
          <w:szCs w:val="24"/>
        </w:rPr>
        <w:t>Verre de type III</w:t>
      </w:r>
      <w:r w:rsidRPr="007115A7">
        <w:rPr>
          <w:rFonts w:asciiTheme="majorBidi" w:hAnsiTheme="majorBidi" w:cstheme="majorBidi"/>
          <w:sz w:val="24"/>
          <w:szCs w:val="24"/>
        </w:rPr>
        <w:t xml:space="preserve"> 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115A7">
        <w:rPr>
          <w:rFonts w:asciiTheme="majorBidi" w:hAnsiTheme="majorBidi" w:cstheme="majorBidi"/>
          <w:sz w:val="24"/>
          <w:szCs w:val="24"/>
        </w:rPr>
        <w:t xml:space="preserve">dit silicocalcosodique ou verre ordinaire. </w:t>
      </w:r>
      <w:r w:rsidR="00420B14">
        <w:rPr>
          <w:rFonts w:asciiTheme="majorBidi" w:hAnsiTheme="majorBidi" w:cstheme="majorBidi"/>
          <w:sz w:val="24"/>
          <w:szCs w:val="24"/>
        </w:rPr>
        <w:t>Il est d</w:t>
      </w:r>
      <w:r w:rsidRPr="007115A7">
        <w:rPr>
          <w:rFonts w:asciiTheme="majorBidi" w:hAnsiTheme="majorBidi" w:cstheme="majorBidi"/>
          <w:sz w:val="24"/>
          <w:szCs w:val="24"/>
        </w:rPr>
        <w:t xml:space="preserve">estiné surtout à contenir les solutés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115A7">
        <w:rPr>
          <w:rFonts w:asciiTheme="majorBidi" w:hAnsiTheme="majorBidi" w:cstheme="majorBidi"/>
          <w:sz w:val="24"/>
          <w:szCs w:val="24"/>
        </w:rPr>
        <w:t xml:space="preserve">buvables, jamais les solutés injectables. Il peut contenir des poudres pour préparations injectables à mettre en solution ou en suspension extemporanément. </w:t>
      </w:r>
    </w:p>
    <w:p w:rsidR="00841039" w:rsidRPr="007115A7" w:rsidRDefault="00841039" w:rsidP="00841039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115A7">
        <w:rPr>
          <w:rFonts w:asciiTheme="majorBidi" w:hAnsiTheme="majorBidi" w:cstheme="majorBidi"/>
          <w:sz w:val="24"/>
          <w:szCs w:val="24"/>
        </w:rPr>
        <w:t>●</w:t>
      </w:r>
      <w:r w:rsidRPr="007115A7">
        <w:rPr>
          <w:rFonts w:asciiTheme="majorBidi" w:hAnsiTheme="majorBidi" w:cstheme="majorBidi"/>
          <w:b/>
          <w:bCs/>
          <w:sz w:val="24"/>
          <w:szCs w:val="24"/>
        </w:rPr>
        <w:t>Verre de type II</w:t>
      </w:r>
      <w:r w:rsidRPr="007115A7">
        <w:rPr>
          <w:rFonts w:asciiTheme="majorBidi" w:hAnsiTheme="majorBidi" w:cstheme="majorBidi"/>
          <w:sz w:val="24"/>
          <w:szCs w:val="24"/>
        </w:rPr>
        <w:t xml:space="preserve"> 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420B14">
        <w:rPr>
          <w:rFonts w:asciiTheme="majorBidi" w:hAnsiTheme="majorBidi" w:cstheme="majorBidi"/>
          <w:sz w:val="24"/>
          <w:szCs w:val="24"/>
        </w:rPr>
        <w:t xml:space="preserve">C’est un </w:t>
      </w:r>
      <w:r w:rsidRPr="007115A7">
        <w:rPr>
          <w:rFonts w:asciiTheme="majorBidi" w:hAnsiTheme="majorBidi" w:cstheme="majorBidi"/>
          <w:sz w:val="24"/>
          <w:szCs w:val="24"/>
        </w:rPr>
        <w:t xml:space="preserve">verre ordinaire traité en surface pour éliminer les ions alcalins sur la face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115A7">
        <w:rPr>
          <w:rFonts w:asciiTheme="majorBidi" w:hAnsiTheme="majorBidi" w:cstheme="majorBidi"/>
          <w:sz w:val="24"/>
          <w:szCs w:val="24"/>
        </w:rPr>
        <w:t>intérieure par action de l’anhydride sulfureux qui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115A7">
        <w:rPr>
          <w:rFonts w:asciiTheme="majorBidi" w:hAnsiTheme="majorBidi" w:cstheme="majorBidi"/>
          <w:sz w:val="24"/>
          <w:szCs w:val="24"/>
        </w:rPr>
        <w:t xml:space="preserve">les transforme en sulfates solubles facilement éliminables par rinçage à l’eau. La couche de silice qui reste alors à la surface n’a plus alors d’ions alcalins à échanger avec la solution contenue. </w:t>
      </w:r>
    </w:p>
    <w:p w:rsidR="00841039" w:rsidRPr="007115A7" w:rsidRDefault="00841039" w:rsidP="00420B1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115A7">
        <w:rPr>
          <w:rFonts w:asciiTheme="majorBidi" w:hAnsiTheme="majorBidi" w:cstheme="majorBidi"/>
          <w:sz w:val="24"/>
          <w:szCs w:val="24"/>
        </w:rPr>
        <w:t>●</w:t>
      </w:r>
      <w:r w:rsidRPr="007115A7">
        <w:rPr>
          <w:rFonts w:asciiTheme="majorBidi" w:hAnsiTheme="majorBidi" w:cstheme="majorBidi"/>
          <w:b/>
          <w:bCs/>
          <w:sz w:val="24"/>
          <w:szCs w:val="24"/>
        </w:rPr>
        <w:t>Verre de type I</w:t>
      </w:r>
      <w:r w:rsidRPr="007115A7">
        <w:rPr>
          <w:rFonts w:asciiTheme="majorBidi" w:hAnsiTheme="majorBidi" w:cstheme="majorBidi"/>
          <w:sz w:val="24"/>
          <w:szCs w:val="24"/>
        </w:rPr>
        <w:t xml:space="preserve"> 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420B14">
        <w:rPr>
          <w:rFonts w:asciiTheme="majorBidi" w:hAnsiTheme="majorBidi" w:cstheme="majorBidi"/>
          <w:sz w:val="24"/>
          <w:szCs w:val="24"/>
        </w:rPr>
        <w:t xml:space="preserve">C’est un </w:t>
      </w:r>
      <w:r w:rsidRPr="007115A7">
        <w:rPr>
          <w:rFonts w:asciiTheme="majorBidi" w:hAnsiTheme="majorBidi" w:cstheme="majorBidi"/>
          <w:sz w:val="24"/>
          <w:szCs w:val="24"/>
        </w:rPr>
        <w:t xml:space="preserve">verre ordinaire dans </w:t>
      </w:r>
      <w:r w:rsidR="00420B14">
        <w:rPr>
          <w:rFonts w:asciiTheme="majorBidi" w:hAnsiTheme="majorBidi" w:cstheme="majorBidi"/>
          <w:sz w:val="24"/>
          <w:szCs w:val="24"/>
        </w:rPr>
        <w:t xml:space="preserve">lequel </w:t>
      </w:r>
      <w:r w:rsidRPr="007115A7">
        <w:rPr>
          <w:rFonts w:asciiTheme="majorBidi" w:hAnsiTheme="majorBidi" w:cstheme="majorBidi"/>
          <w:sz w:val="24"/>
          <w:szCs w:val="24"/>
        </w:rPr>
        <w:t xml:space="preserve">une partie de la silice a été remplacée par de l’anhydride borique ce qui lui confère une plus grande résistance chimique et physique. C’est un verre dit neutre dans sa masse. </w:t>
      </w:r>
    </w:p>
    <w:p w:rsidR="008E4EC3" w:rsidRPr="00841039" w:rsidRDefault="008E4EC3" w:rsidP="00841039">
      <w:pPr>
        <w:rPr>
          <w:rFonts w:asciiTheme="majorBidi" w:hAnsiTheme="majorBidi" w:cstheme="majorBidi"/>
          <w:sz w:val="24"/>
          <w:szCs w:val="24"/>
          <w:lang w:eastAsia="en-US"/>
        </w:rPr>
      </w:pPr>
    </w:p>
    <w:sectPr w:rsidR="008E4EC3" w:rsidRPr="00841039" w:rsidSect="0017275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68D9" w:rsidRDefault="000D68D9" w:rsidP="00271CC5">
      <w:pPr>
        <w:spacing w:after="0" w:line="240" w:lineRule="auto"/>
      </w:pPr>
      <w:r>
        <w:separator/>
      </w:r>
    </w:p>
  </w:endnote>
  <w:endnote w:type="continuationSeparator" w:id="1">
    <w:p w:rsidR="000D68D9" w:rsidRDefault="000D68D9" w:rsidP="00271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Bidi" w:hAnsiTheme="majorBidi" w:cstheme="majorBidi"/>
        <w:sz w:val="20"/>
        <w:szCs w:val="20"/>
      </w:rPr>
      <w:id w:val="83099645"/>
      <w:docPartObj>
        <w:docPartGallery w:val="Page Numbers (Bottom of Page)"/>
        <w:docPartUnique/>
      </w:docPartObj>
    </w:sdtPr>
    <w:sdtContent>
      <w:p w:rsidR="00F23A2B" w:rsidRPr="00F23A2B" w:rsidRDefault="00EA2149">
        <w:pPr>
          <w:pStyle w:val="Pieddepage"/>
          <w:jc w:val="center"/>
          <w:rPr>
            <w:rFonts w:asciiTheme="majorBidi" w:hAnsiTheme="majorBidi" w:cstheme="majorBidi"/>
            <w:sz w:val="20"/>
            <w:szCs w:val="20"/>
          </w:rPr>
        </w:pPr>
        <w:r w:rsidRPr="00F23A2B">
          <w:rPr>
            <w:rFonts w:asciiTheme="majorBidi" w:hAnsiTheme="majorBidi" w:cstheme="majorBidi"/>
            <w:sz w:val="20"/>
            <w:szCs w:val="20"/>
          </w:rPr>
          <w:fldChar w:fldCharType="begin"/>
        </w:r>
        <w:r w:rsidR="00F23A2B" w:rsidRPr="00F23A2B">
          <w:rPr>
            <w:rFonts w:asciiTheme="majorBidi" w:hAnsiTheme="majorBidi" w:cstheme="majorBidi"/>
            <w:sz w:val="20"/>
            <w:szCs w:val="20"/>
          </w:rPr>
          <w:instrText xml:space="preserve"> PAGE   \* MERGEFORMAT </w:instrText>
        </w:r>
        <w:r w:rsidRPr="00F23A2B">
          <w:rPr>
            <w:rFonts w:asciiTheme="majorBidi" w:hAnsiTheme="majorBidi" w:cstheme="majorBidi"/>
            <w:sz w:val="20"/>
            <w:szCs w:val="20"/>
          </w:rPr>
          <w:fldChar w:fldCharType="separate"/>
        </w:r>
        <w:r w:rsidR="0017275C">
          <w:rPr>
            <w:rFonts w:asciiTheme="majorBidi" w:hAnsiTheme="majorBidi" w:cstheme="majorBidi"/>
            <w:noProof/>
            <w:sz w:val="20"/>
            <w:szCs w:val="20"/>
          </w:rPr>
          <w:t>1</w:t>
        </w:r>
        <w:r w:rsidRPr="00F23A2B">
          <w:rPr>
            <w:rFonts w:asciiTheme="majorBidi" w:hAnsiTheme="majorBidi" w:cstheme="majorBidi"/>
            <w:sz w:val="20"/>
            <w:szCs w:val="20"/>
          </w:rPr>
          <w:fldChar w:fldCharType="end"/>
        </w:r>
      </w:p>
    </w:sdtContent>
  </w:sdt>
  <w:p w:rsidR="00F23A2B" w:rsidRDefault="00F23A2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68D9" w:rsidRDefault="000D68D9" w:rsidP="00271CC5">
      <w:pPr>
        <w:spacing w:after="0" w:line="240" w:lineRule="auto"/>
      </w:pPr>
      <w:r>
        <w:separator/>
      </w:r>
    </w:p>
  </w:footnote>
  <w:footnote w:type="continuationSeparator" w:id="1">
    <w:p w:rsidR="000D68D9" w:rsidRDefault="000D68D9" w:rsidP="00271C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F2C" w:rsidRDefault="008B4F2C" w:rsidP="008B4F2C">
    <w:pPr>
      <w:pStyle w:val="En-tte"/>
      <w:pBdr>
        <w:between w:val="single" w:sz="4" w:space="1" w:color="4F81BD" w:themeColor="accent1"/>
      </w:pBdr>
      <w:spacing w:line="276" w:lineRule="auto"/>
    </w:pPr>
    <w:r w:rsidRPr="008B4F2C">
      <w:rPr>
        <w:rFonts w:asciiTheme="majorBidi" w:hAnsiTheme="majorBidi" w:cstheme="majorBidi"/>
        <w:b/>
        <w:bCs/>
        <w:sz w:val="28"/>
        <w:szCs w:val="28"/>
      </w:rPr>
      <w:t>Chapitre VIII</w:t>
    </w:r>
    <w:r>
      <w:rPr>
        <w:rFonts w:asciiTheme="majorBidi" w:hAnsiTheme="majorBidi" w:cstheme="majorBidi"/>
        <w:b/>
        <w:bCs/>
        <w:sz w:val="28"/>
        <w:szCs w:val="28"/>
      </w:rPr>
      <w:t xml:space="preserve">                             </w:t>
    </w:r>
    <w:r w:rsidRPr="008B4F2C">
      <w:rPr>
        <w:rFonts w:asciiTheme="majorBidi" w:hAnsiTheme="majorBidi" w:cstheme="majorBidi"/>
        <w:b/>
        <w:bCs/>
        <w:sz w:val="28"/>
        <w:szCs w:val="28"/>
      </w:rPr>
      <w:t>L’emballage des produits pharmaceutiques</w:t>
    </w:r>
  </w:p>
  <w:p w:rsidR="008B4F2C" w:rsidRDefault="008B4F2C">
    <w:pPr>
      <w:pStyle w:val="En-tte"/>
      <w:pBdr>
        <w:between w:val="single" w:sz="4" w:space="1" w:color="4F81BD" w:themeColor="accent1"/>
      </w:pBdr>
      <w:spacing w:line="276" w:lineRule="auto"/>
      <w:jc w:val="center"/>
    </w:pPr>
  </w:p>
  <w:p w:rsidR="008B4F2C" w:rsidRDefault="008B4F2C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A180"/>
      </v:shape>
    </w:pict>
  </w:numPicBullet>
  <w:abstractNum w:abstractNumId="0">
    <w:nsid w:val="06A22336"/>
    <w:multiLevelType w:val="hybridMultilevel"/>
    <w:tmpl w:val="F726FFE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EB21F8"/>
    <w:multiLevelType w:val="hybridMultilevel"/>
    <w:tmpl w:val="62AE4BA6"/>
    <w:lvl w:ilvl="0" w:tplc="9F481C2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E53C81"/>
    <w:multiLevelType w:val="hybridMultilevel"/>
    <w:tmpl w:val="CDDCFCC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3C2638"/>
    <w:multiLevelType w:val="hybridMultilevel"/>
    <w:tmpl w:val="C1DEDD4E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311D9F"/>
    <w:multiLevelType w:val="hybridMultilevel"/>
    <w:tmpl w:val="639816C4"/>
    <w:lvl w:ilvl="0" w:tplc="D944922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84C2C"/>
    <w:multiLevelType w:val="hybridMultilevel"/>
    <w:tmpl w:val="639816C4"/>
    <w:lvl w:ilvl="0" w:tplc="D944922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300304"/>
    <w:multiLevelType w:val="hybridMultilevel"/>
    <w:tmpl w:val="C234D50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F66F5E"/>
    <w:multiLevelType w:val="hybridMultilevel"/>
    <w:tmpl w:val="704A3EAA"/>
    <w:lvl w:ilvl="0" w:tplc="7446124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FB6B82"/>
    <w:multiLevelType w:val="hybridMultilevel"/>
    <w:tmpl w:val="6BDEC1E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CA756D"/>
    <w:multiLevelType w:val="hybridMultilevel"/>
    <w:tmpl w:val="415CCFC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9275AF"/>
    <w:multiLevelType w:val="hybridMultilevel"/>
    <w:tmpl w:val="059A24A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A740AE"/>
    <w:multiLevelType w:val="hybridMultilevel"/>
    <w:tmpl w:val="07AA729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70333B"/>
    <w:multiLevelType w:val="hybridMultilevel"/>
    <w:tmpl w:val="5C50DDE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3D3BDE"/>
    <w:multiLevelType w:val="hybridMultilevel"/>
    <w:tmpl w:val="EE5A93D0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2010D0"/>
    <w:multiLevelType w:val="hybridMultilevel"/>
    <w:tmpl w:val="192E777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AD2E66"/>
    <w:multiLevelType w:val="hybridMultilevel"/>
    <w:tmpl w:val="96DAB1AC"/>
    <w:lvl w:ilvl="0" w:tplc="8C063F1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15"/>
  </w:num>
  <w:num w:numId="4">
    <w:abstractNumId w:val="3"/>
  </w:num>
  <w:num w:numId="5">
    <w:abstractNumId w:val="10"/>
  </w:num>
  <w:num w:numId="6">
    <w:abstractNumId w:val="12"/>
  </w:num>
  <w:num w:numId="7">
    <w:abstractNumId w:val="7"/>
  </w:num>
  <w:num w:numId="8">
    <w:abstractNumId w:val="8"/>
  </w:num>
  <w:num w:numId="9">
    <w:abstractNumId w:val="2"/>
  </w:num>
  <w:num w:numId="10">
    <w:abstractNumId w:val="4"/>
  </w:num>
  <w:num w:numId="11">
    <w:abstractNumId w:val="5"/>
  </w:num>
  <w:num w:numId="12">
    <w:abstractNumId w:val="1"/>
  </w:num>
  <w:num w:numId="13">
    <w:abstractNumId w:val="0"/>
  </w:num>
  <w:num w:numId="14">
    <w:abstractNumId w:val="13"/>
  </w:num>
  <w:num w:numId="15">
    <w:abstractNumId w:val="9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71CC5"/>
    <w:rsid w:val="000D68D9"/>
    <w:rsid w:val="0017275C"/>
    <w:rsid w:val="001B72F4"/>
    <w:rsid w:val="001F3DC4"/>
    <w:rsid w:val="00205806"/>
    <w:rsid w:val="00271CC5"/>
    <w:rsid w:val="00345E09"/>
    <w:rsid w:val="00364116"/>
    <w:rsid w:val="0036665E"/>
    <w:rsid w:val="00420B14"/>
    <w:rsid w:val="00494A27"/>
    <w:rsid w:val="00513176"/>
    <w:rsid w:val="00534000"/>
    <w:rsid w:val="00624CB1"/>
    <w:rsid w:val="00662DB2"/>
    <w:rsid w:val="00681481"/>
    <w:rsid w:val="006820AC"/>
    <w:rsid w:val="006B0F10"/>
    <w:rsid w:val="00704262"/>
    <w:rsid w:val="007115A7"/>
    <w:rsid w:val="00763776"/>
    <w:rsid w:val="00841039"/>
    <w:rsid w:val="00873515"/>
    <w:rsid w:val="008A430F"/>
    <w:rsid w:val="008B4F2C"/>
    <w:rsid w:val="008E4EC3"/>
    <w:rsid w:val="00994E6E"/>
    <w:rsid w:val="009F2AF1"/>
    <w:rsid w:val="00B75F96"/>
    <w:rsid w:val="00BA3902"/>
    <w:rsid w:val="00BC1D95"/>
    <w:rsid w:val="00C43080"/>
    <w:rsid w:val="00C6227C"/>
    <w:rsid w:val="00C774F2"/>
    <w:rsid w:val="00CE688F"/>
    <w:rsid w:val="00E17718"/>
    <w:rsid w:val="00E72EC9"/>
    <w:rsid w:val="00EA2149"/>
    <w:rsid w:val="00EC05C8"/>
    <w:rsid w:val="00F23A2B"/>
    <w:rsid w:val="00F81E82"/>
    <w:rsid w:val="00F95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51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71C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71CC5"/>
  </w:style>
  <w:style w:type="paragraph" w:styleId="Pieddepage">
    <w:name w:val="footer"/>
    <w:basedOn w:val="Normal"/>
    <w:link w:val="PieddepageCar"/>
    <w:uiPriority w:val="99"/>
    <w:unhideWhenUsed/>
    <w:rsid w:val="00271C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71CC5"/>
  </w:style>
  <w:style w:type="paragraph" w:styleId="Paragraphedeliste">
    <w:name w:val="List Paragraph"/>
    <w:basedOn w:val="Normal"/>
    <w:uiPriority w:val="34"/>
    <w:qFormat/>
    <w:rsid w:val="00B75F96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75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5F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234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aci</dc:creator>
  <cp:keywords/>
  <dc:description/>
  <cp:lastModifiedBy>aci</cp:lastModifiedBy>
  <cp:revision>22</cp:revision>
  <dcterms:created xsi:type="dcterms:W3CDTF">2020-11-12T12:50:00Z</dcterms:created>
  <dcterms:modified xsi:type="dcterms:W3CDTF">2022-09-26T18:05:00Z</dcterms:modified>
</cp:coreProperties>
</file>