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29" w:rsidRPr="00354429" w:rsidRDefault="00354429" w:rsidP="00354429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rtl/>
          <w:lang w:eastAsia="fr-FR"/>
        </w:rPr>
        <w:br/>
        <w:t xml:space="preserve">معوقات </w:t>
      </w:r>
      <w:proofErr w:type="gramStart"/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rtl/>
          <w:lang w:eastAsia="fr-FR"/>
        </w:rPr>
        <w:t>الاتصال :</w:t>
      </w:r>
      <w:proofErr w:type="gramEnd"/>
    </w:p>
    <w:p w:rsidR="00354429" w:rsidRPr="00354429" w:rsidRDefault="00354429" w:rsidP="00354429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highlight w:val="yellow"/>
          <w:rtl/>
          <w:lang w:eastAsia="fr-FR"/>
        </w:rPr>
        <w:t>1-        </w:t>
      </w:r>
      <w:proofErr w:type="gramStart"/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highlight w:val="yellow"/>
          <w:rtl/>
          <w:lang w:eastAsia="fr-FR"/>
        </w:rPr>
        <w:t>معوقات</w:t>
      </w:r>
      <w:proofErr w:type="gramEnd"/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highlight w:val="yellow"/>
          <w:rtl/>
          <w:lang w:eastAsia="fr-FR"/>
        </w:rPr>
        <w:t xml:space="preserve"> متعلقة بالمرسل:</w:t>
      </w:r>
    </w:p>
    <w:p w:rsidR="00354429" w:rsidRPr="00354429" w:rsidRDefault="00354429" w:rsidP="00354429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تتمثل في:</w:t>
      </w:r>
    </w:p>
    <w:p w:rsidR="00354429" w:rsidRPr="00354429" w:rsidRDefault="00354429" w:rsidP="00354429">
      <w:pPr>
        <w:numPr>
          <w:ilvl w:val="0"/>
          <w:numId w:val="1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قصور المرسل و عدم قدرته على صياغة الرسالة بوضوح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1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صعوبة تفاعله مع الآخرين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1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إصدار الأحكام المسبقة تجاه المستقبل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1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عدم قدرته على تخطيط الاتصال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عدم الاكتراث بالنتيجة أو بالأثر المنتظر من عملية الاتصال</w:t>
      </w:r>
    </w:p>
    <w:p w:rsidR="00354429" w:rsidRPr="00354429" w:rsidRDefault="00354429" w:rsidP="00354429">
      <w:pPr>
        <w:bidi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</w:p>
    <w:p w:rsidR="00354429" w:rsidRPr="00354429" w:rsidRDefault="00354429" w:rsidP="0035442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highlight w:val="yellow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highlight w:val="yellow"/>
          <w:rtl/>
          <w:lang w:eastAsia="fr-FR"/>
        </w:rPr>
        <w:t>2-        </w:t>
      </w:r>
      <w:proofErr w:type="gramStart"/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highlight w:val="yellow"/>
          <w:rtl/>
          <w:lang w:eastAsia="fr-FR"/>
        </w:rPr>
        <w:t>معوقات</w:t>
      </w:r>
      <w:proofErr w:type="gramEnd"/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highlight w:val="yellow"/>
          <w:rtl/>
          <w:lang w:eastAsia="fr-FR"/>
        </w:rPr>
        <w:t xml:space="preserve"> متعلقة بالرسالة:</w:t>
      </w:r>
    </w:p>
    <w:p w:rsidR="00354429" w:rsidRPr="00354429" w:rsidRDefault="00354429" w:rsidP="00354429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قد تتضمن الرسالة التي تم إرسالها بعض الأخطاء بعض المواد التي تقلل من وضوح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الموضوع،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وينتج عن ذلك أن تصبح الرسالة المستقبلة على درجة من عدم التيقن يطلق عليه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التشويش،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مثلما يحدث في العوائق التي ترتبط بالمؤثرات الخارجية مثل الضوضاء وارتفاع درجة الحرارة وشدة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البرودة،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والتي تحول دون إمكانية حدوث الاتصال بصورة جيدة</w:t>
      </w:r>
    </w:p>
    <w:p w:rsidR="00354429" w:rsidRPr="00354429" w:rsidRDefault="00354429" w:rsidP="00354429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highlight w:val="yellow"/>
          <w:rtl/>
          <w:lang w:eastAsia="fr-FR"/>
        </w:rPr>
        <w:t>3-        </w:t>
      </w:r>
      <w:proofErr w:type="gramStart"/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highlight w:val="yellow"/>
          <w:rtl/>
          <w:lang w:eastAsia="fr-FR"/>
        </w:rPr>
        <w:t>معوقات</w:t>
      </w:r>
      <w:proofErr w:type="gramEnd"/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highlight w:val="yellow"/>
          <w:rtl/>
          <w:lang w:eastAsia="fr-FR"/>
        </w:rPr>
        <w:t xml:space="preserve"> متعلقة بالمستقبل:</w:t>
      </w:r>
    </w:p>
    <w:p w:rsidR="00354429" w:rsidRPr="00354429" w:rsidRDefault="00354429" w:rsidP="00354429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هناك بعض المعوقات المتعلقة بالمستقبل منها:</w:t>
      </w:r>
    </w:p>
    <w:p w:rsidR="00354429" w:rsidRPr="00354429" w:rsidRDefault="00354429" w:rsidP="00354429">
      <w:pPr>
        <w:numPr>
          <w:ilvl w:val="0"/>
          <w:numId w:val="2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سوء التقاط الرسائل كالتسرع في التأويل المقصود بالحديث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2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عدم الانتباه للحديث ككل والتركيز على عناصر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منتقاة،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مما يؤدي إلى سوء تفسير المقصود بالرسالة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إصدار الأحكام المسبقة تجاه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المرسل،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واتخاذ المواقف السلبية تجاه الرسائل الواردة إليه</w:t>
      </w:r>
    </w:p>
    <w:p w:rsidR="00354429" w:rsidRPr="00354429" w:rsidRDefault="00354429" w:rsidP="0035442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</w:p>
    <w:p w:rsidR="00354429" w:rsidRPr="00354429" w:rsidRDefault="00354429" w:rsidP="0035442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</w:p>
    <w:p w:rsidR="00354429" w:rsidRPr="00354429" w:rsidRDefault="00354429" w:rsidP="00354429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 </w:t>
      </w: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highlight w:val="yellow"/>
          <w:rtl/>
          <w:lang w:eastAsia="fr-FR"/>
        </w:rPr>
        <w:t>4-        </w:t>
      </w:r>
      <w:proofErr w:type="gramStart"/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highlight w:val="yellow"/>
          <w:rtl/>
          <w:lang w:eastAsia="fr-FR"/>
        </w:rPr>
        <w:t>معوقات</w:t>
      </w:r>
      <w:proofErr w:type="gramEnd"/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highlight w:val="yellow"/>
          <w:rtl/>
          <w:lang w:eastAsia="fr-FR"/>
        </w:rPr>
        <w:t xml:space="preserve"> متعلقة بالوسيلة:</w:t>
      </w:r>
    </w:p>
    <w:p w:rsidR="00354429" w:rsidRPr="00354429" w:rsidRDefault="00354429" w:rsidP="00354429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تتمثل المعوقات التي تعترضها في:</w:t>
      </w:r>
    </w:p>
    <w:p w:rsidR="00354429" w:rsidRPr="00354429" w:rsidRDefault="00354429" w:rsidP="00354429">
      <w:pPr>
        <w:numPr>
          <w:ilvl w:val="0"/>
          <w:numId w:val="3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الاختيار الخاطئ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للوسيلة،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حيث تفشل عملية الاتصال برمتها عندما يتم اختيار وسيلة اتصال غير ملائمة أو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ضعيفة،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أو غير متكاملة أو غير متجانسة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3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lastRenderedPageBreak/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الاستخدام الخاطئ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للوسيلة،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حيث قد تتوافر لدى الأفراد أو المؤسسات وسائل اتصال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متعددة،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تقليدية،وإلكترونية مثلا ويتم استخدامها بأسلوب سيئ إما بسبب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الجهل،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أو الإهمال أو سوء الإدارة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3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بعد المسافة التنظيمية أو تعدد المستويات الإدارية في المنظمة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3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ازدحام واختناق قنوات الاتصال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3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سوء وضعف وسيلة الاتصال التي تؤدي إلى تشويه عملية الاتصال أو إضعافها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highlight w:val="yellow"/>
          <w:rtl/>
          <w:lang w:eastAsia="fr-FR"/>
        </w:rPr>
        <w:t>5-        </w:t>
      </w:r>
      <w:proofErr w:type="gramStart"/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highlight w:val="yellow"/>
          <w:rtl/>
          <w:lang w:eastAsia="fr-FR"/>
        </w:rPr>
        <w:t>معوقات</w:t>
      </w:r>
      <w:proofErr w:type="gramEnd"/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highlight w:val="yellow"/>
          <w:rtl/>
          <w:lang w:eastAsia="fr-FR"/>
        </w:rPr>
        <w:t xml:space="preserve"> متعلقة بالتغذية العكسية:</w:t>
      </w:r>
    </w:p>
    <w:p w:rsidR="00354429" w:rsidRPr="00354429" w:rsidRDefault="00354429" w:rsidP="00354429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يمكن إيجازها في:</w:t>
      </w:r>
    </w:p>
    <w:p w:rsidR="00354429" w:rsidRPr="00354429" w:rsidRDefault="00354429" w:rsidP="00354429">
      <w:pPr>
        <w:numPr>
          <w:ilvl w:val="0"/>
          <w:numId w:val="4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الافتقار إلى متابعة سير عملية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الاتصال،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وعدم الاكتراث بالنتائج المرجوة منها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4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افتراض المرسل بأن التغذية العكسية غير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ضرورية،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وهذا ما يحصل في ظل الإدارات الديكتاتورية التي تفترض الالتزام الحرفي بالتعليمات دون أي مناقشة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4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ضعف بنى الاتصال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التحتية،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أو سوء تصميمها بحيث تكون باتجاه واحد وليس اتجاهين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4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تعالي مرسل الرسالة على المستقبل وعدم الاستئناس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بأراءه،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وتحصل هذه الحالات في الإدارة البيروقراطية أو الديكتاتورية التعسفية</w:t>
      </w:r>
    </w:p>
    <w:p w:rsidR="00354429" w:rsidRPr="00354429" w:rsidRDefault="00354429" w:rsidP="00354429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كما يمكن تلخيص </w:t>
      </w:r>
      <w:proofErr w:type="gram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معوقات</w:t>
      </w:r>
      <w:proofErr w:type="gram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الاتصال في النقاط التالية:</w:t>
      </w:r>
    </w:p>
    <w:p w:rsidR="00354429" w:rsidRPr="00354429" w:rsidRDefault="00354429" w:rsidP="00354429">
      <w:pPr>
        <w:numPr>
          <w:ilvl w:val="0"/>
          <w:numId w:val="5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التباين في الإدراك والمستوى بين المرسل والمستقبل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5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الشرود وعدم الانتباه الذي يعني عدم الرغبة في التفاعل مع الرسالة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5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الافتراض المسبق وينجم هذا عن افتراض المرسل بأن المستقبل يستوعب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الرسالة،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فلا يفصل بصورة كافية في بعض الجوانب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المهمة،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ولا يقدم الأدلة الضرورية لتوضيح مقاصده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5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العرض المختل للرسالة أي بصورة غير منظمة وغير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مترابطة،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فيؤدي ذلك إلى تشويش المتلقي وعدم فهمه أو إفهامه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5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إغلاق قنوات الاتصال عن طريق منع المشارك في الاتصال من محاورة المرسل بصورة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متكافئة،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فالحوار يساعد على إقامة جسور تصل بينهما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numPr>
          <w:ilvl w:val="0"/>
          <w:numId w:val="5"/>
        </w:numPr>
        <w:bidi/>
        <w:spacing w:before="100" w:beforeAutospacing="1" w:after="100" w:afterAutospacing="1" w:line="351" w:lineRule="atLeast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lang w:eastAsia="fr-FR"/>
        </w:rPr>
        <w:t>·    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العقبات الإدارية الناتجة عن ضعف الهياكل التنظيمية أو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جمودها،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ما يضعف عملية التدفق السليم للرسائل</w:t>
      </w: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.</w:t>
      </w:r>
    </w:p>
    <w:p w:rsidR="00354429" w:rsidRPr="00354429" w:rsidRDefault="00354429" w:rsidP="00354429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 </w:t>
      </w:r>
    </w:p>
    <w:p w:rsidR="00354429" w:rsidRPr="00354429" w:rsidRDefault="00354429" w:rsidP="00354429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هناك عدة معوقات أخرى تتعلق باتجاهات الاتصال الرسمي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(صاعد،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نازل،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أفقي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)،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و يحاول كل من المرسل أو المستقبل </w:t>
      </w:r>
      <w:proofErr w:type="spell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تجنبها،</w:t>
      </w:r>
      <w:proofErr w:type="spellEnd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 xml:space="preserve"> أو المحاولة من تخفيف تأثيرها على عملية الاتصالات الرسمية داخل </w:t>
      </w:r>
      <w:proofErr w:type="gramStart"/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  <w:t>المؤسسة .</w:t>
      </w:r>
      <w:proofErr w:type="gramEnd"/>
    </w:p>
    <w:p w:rsidR="00354429" w:rsidRPr="00354429" w:rsidRDefault="00354429" w:rsidP="00354429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vertAlign w:val="superscript"/>
          <w:rtl/>
          <w:lang w:eastAsia="fr-FR"/>
        </w:rPr>
        <w:lastRenderedPageBreak/>
        <w:t> </w:t>
      </w:r>
    </w:p>
    <w:tbl>
      <w:tblPr>
        <w:bidiVisual/>
        <w:tblW w:w="825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68"/>
        <w:gridCol w:w="3005"/>
        <w:gridCol w:w="2779"/>
      </w:tblGrid>
      <w:tr w:rsidR="00354429" w:rsidRPr="00354429" w:rsidTr="00354429">
        <w:trPr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gramStart"/>
            <w:r w:rsidRPr="0035442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  <w:t>الاتجاه</w:t>
            </w:r>
            <w:proofErr w:type="gramEnd"/>
            <w:r w:rsidRPr="0035442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  <w:t xml:space="preserve"> الرأسي الهابط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gramStart"/>
            <w:r w:rsidRPr="0035442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  <w:t>الاتجاه</w:t>
            </w:r>
            <w:proofErr w:type="gramEnd"/>
            <w:r w:rsidRPr="0035442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  <w:t xml:space="preserve"> الرأسي الصاعد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gramStart"/>
            <w:r w:rsidRPr="0035442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  <w:t>الاتجاه</w:t>
            </w:r>
            <w:proofErr w:type="gramEnd"/>
            <w:r w:rsidRPr="0035442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fr-FR"/>
              </w:rPr>
              <w:t xml:space="preserve"> الأفقي</w:t>
            </w:r>
          </w:p>
        </w:tc>
      </w:tr>
      <w:tr w:rsidR="00354429" w:rsidRPr="00354429" w:rsidTr="00354429">
        <w:trPr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 xml:space="preserve">    </w:t>
            </w:r>
            <w:proofErr w:type="gram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كثرة</w:t>
            </w:r>
            <w:proofErr w:type="gram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 xml:space="preserve"> الأوامر.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    خوف المرؤوس من رئيسه.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    تداخل الاختصاصات والصلاحيات بين الإدارات.</w:t>
            </w:r>
          </w:p>
        </w:tc>
      </w:tr>
      <w:tr w:rsidR="00354429" w:rsidRPr="00354429" w:rsidTr="00354429">
        <w:trPr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    تعارض في الأوامر.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    رفع المعلومات السارة فقط و حجز الأخرى عن الإدارة العليا.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 xml:space="preserve">    </w:t>
            </w:r>
            <w:proofErr w:type="gram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اختلاف</w:t>
            </w:r>
            <w:proofErr w:type="gram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 xml:space="preserve"> التخصصات الوظيفية.</w:t>
            </w:r>
          </w:p>
        </w:tc>
      </w:tr>
      <w:tr w:rsidR="00354429" w:rsidRPr="00354429" w:rsidTr="00354429">
        <w:trPr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    عدم وضوح الأوامر.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    غالبا لا يصدق الرئيس صراحة المرؤوس.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 xml:space="preserve">    </w:t>
            </w:r>
            <w:proofErr w:type="gram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حدوث</w:t>
            </w:r>
            <w:proofErr w:type="gram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 xml:space="preserve"> بعض المشاكل الإدارية.</w:t>
            </w:r>
          </w:p>
        </w:tc>
      </w:tr>
      <w:tr w:rsidR="00354429" w:rsidRPr="00354429" w:rsidTr="00354429">
        <w:trPr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 xml:space="preserve">    </w:t>
            </w:r>
            <w:proofErr w:type="gram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استخدام</w:t>
            </w:r>
            <w:proofErr w:type="gram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 xml:space="preserve"> السلطة.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    قلة قنوات الاتصال المتوفرة.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 xml:space="preserve">    </w:t>
            </w:r>
            <w:proofErr w:type="gram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عدم</w:t>
            </w:r>
            <w:proofErr w:type="gram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 xml:space="preserve"> الرغبة في مشاركة المعلومات.</w:t>
            </w:r>
          </w:p>
        </w:tc>
      </w:tr>
      <w:tr w:rsidR="00354429" w:rsidRPr="00354429" w:rsidTr="00354429">
        <w:trPr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 xml:space="preserve">    حجز </w:t>
            </w:r>
            <w:proofErr w:type="gram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بعض</w:t>
            </w:r>
            <w:proofErr w:type="gram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 xml:space="preserve"> المعلومات وعدم تمريرها إلى المستوى الأدنى.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    صعوبة في الاتصال.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    قلة الاستخدام تؤثر على عملية التنسيق المطلوبة.</w:t>
            </w:r>
          </w:p>
        </w:tc>
      </w:tr>
      <w:tr w:rsidR="00354429" w:rsidRPr="00354429" w:rsidTr="00354429">
        <w:trPr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    عدم الاهتمام بالمستويات الدنيا.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    عدم الثقة في المستويات العليا.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429" w:rsidRPr="00354429" w:rsidRDefault="00354429" w:rsidP="00354429">
            <w:pPr>
              <w:bidi/>
              <w:spacing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Pr="00354429"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  <w:t>    مضيعة للوقت عندما يساء استخدامه.</w:t>
            </w:r>
          </w:p>
        </w:tc>
      </w:tr>
    </w:tbl>
    <w:p w:rsidR="00354429" w:rsidRPr="00354429" w:rsidRDefault="00354429" w:rsidP="00354429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  <w:rtl/>
          <w:lang w:eastAsia="fr-FR"/>
        </w:rPr>
      </w:pPr>
      <w:r w:rsidRPr="00354429"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  <w:t> </w:t>
      </w:r>
    </w:p>
    <w:p w:rsidR="00354429" w:rsidRPr="00354429" w:rsidRDefault="00354429" w:rsidP="00354429">
      <w:pPr>
        <w:bidi/>
        <w:spacing w:after="100" w:afterAutospacing="1" w:line="240" w:lineRule="auto"/>
        <w:jc w:val="center"/>
        <w:rPr>
          <w:rFonts w:asciiTheme="majorBidi" w:eastAsia="Times New Roman" w:hAnsiTheme="majorBidi" w:cstheme="majorBidi"/>
          <w:color w:val="333333"/>
          <w:sz w:val="32"/>
          <w:szCs w:val="32"/>
          <w:lang w:eastAsia="fr-FR"/>
        </w:rPr>
      </w:pPr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rtl/>
          <w:lang w:eastAsia="fr-FR"/>
        </w:rPr>
        <w:t xml:space="preserve">جدول </w:t>
      </w:r>
      <w:proofErr w:type="gramStart"/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rtl/>
          <w:lang w:eastAsia="fr-FR"/>
        </w:rPr>
        <w:t>رقم</w:t>
      </w:r>
      <w:proofErr w:type="gramEnd"/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rtl/>
          <w:lang w:eastAsia="fr-FR"/>
        </w:rPr>
        <w:t xml:space="preserve"> (02</w:t>
      </w:r>
      <w:proofErr w:type="spellStart"/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rtl/>
          <w:lang w:eastAsia="fr-FR"/>
        </w:rPr>
        <w:t>)</w:t>
      </w:r>
      <w:proofErr w:type="spellEnd"/>
      <w:r w:rsidRPr="0035442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rtl/>
          <w:lang w:eastAsia="fr-FR"/>
        </w:rPr>
        <w:t xml:space="preserve"> يوضح معوقات الاتصال قي المؤسسة حسب الاتجاهات.</w:t>
      </w:r>
    </w:p>
    <w:p w:rsidR="00E353B7" w:rsidRPr="00354429" w:rsidRDefault="00E353B7" w:rsidP="00354429">
      <w:pPr>
        <w:bidi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sectPr w:rsidR="00E353B7" w:rsidRPr="00354429" w:rsidSect="00E35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D413C"/>
    <w:multiLevelType w:val="multilevel"/>
    <w:tmpl w:val="C244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D453D3"/>
    <w:multiLevelType w:val="multilevel"/>
    <w:tmpl w:val="2784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D14D65"/>
    <w:multiLevelType w:val="multilevel"/>
    <w:tmpl w:val="DC7A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62E43"/>
    <w:multiLevelType w:val="multilevel"/>
    <w:tmpl w:val="1634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7414D"/>
    <w:multiLevelType w:val="multilevel"/>
    <w:tmpl w:val="E4F6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4429"/>
    <w:rsid w:val="00354429"/>
    <w:rsid w:val="009C17DB"/>
    <w:rsid w:val="00E3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B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paragraph">
    <w:name w:val="listparagraph"/>
    <w:basedOn w:val="Normal"/>
    <w:rsid w:val="0035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35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46772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2022-05-04T15:30:00Z</dcterms:created>
  <dcterms:modified xsi:type="dcterms:W3CDTF">2022-05-04T15:37:00Z</dcterms:modified>
</cp:coreProperties>
</file>