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CA" w:rsidRPr="001214B0" w:rsidRDefault="001214B0" w:rsidP="001214B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b/>
          <w:bCs/>
          <w:sz w:val="24"/>
          <w:szCs w:val="24"/>
          <w:lang w:val="en-US"/>
        </w:rPr>
        <w:t>Citation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Using Sources within the Text</w:t>
      </w:r>
    </w:p>
    <w:p w:rsidR="00C775CA" w:rsidRPr="001214B0" w:rsidRDefault="00C775CA" w:rsidP="001214B0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When using APA format, follow the author-date method of in-text citation. This means that the</w:t>
      </w:r>
      <w:r w:rsid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author's(s’) last name or name of source, and the year of publication for the source, should appear</w:t>
      </w:r>
      <w:r w:rsid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in the text. Complete reference information should appear in the References list at the end of the</w:t>
      </w:r>
      <w:r w:rsid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manuscript.</w:t>
      </w:r>
    </w:p>
    <w:p w:rsidR="00C775CA" w:rsidRPr="001214B0" w:rsidRDefault="001214B0" w:rsidP="00C775CA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b/>
          <w:bCs/>
          <w:sz w:val="24"/>
          <w:szCs w:val="24"/>
          <w:lang w:val="en-US"/>
        </w:rPr>
        <w:t>Examples of paraphrasing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Falk (2013) claims that the most stigmatized women were unmarried mothers . . .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In a recent study of mental illness (Falk, 2013) . . .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In 2013, Falk discussed mental illness as . . .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For one or two authors, use both names each time you use the source: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Smith and Jones (2018) state that . . .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Smith and Jones (2018) further point out that . . .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For three or more authors, use the first listed author’s last name plus “et al.”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Merriman et al. (2018) found that . . .</w:t>
      </w:r>
    </w:p>
    <w:p w:rsidR="00C775CA" w:rsidRPr="001214B0" w:rsidRDefault="00C775CA" w:rsidP="001214B0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If no author is given, such as when you are citing an article or web page that lists no author, use</w:t>
      </w:r>
      <w:r w:rsid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an abbreviated version of the title, in quotation marks, to substitute for the name of the author</w:t>
      </w:r>
    </w:p>
    <w:p w:rsidR="00C775CA" w:rsidRPr="001214B0" w:rsidRDefault="00C775CA" w:rsidP="001214B0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A similar study of students learning to format research papers was conducted in 2010 by</w:t>
      </w:r>
      <w:r w:rsid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J. Webber (“Using APA,” 2014).</w:t>
      </w:r>
    </w:p>
    <w:p w:rsidR="00C775CA" w:rsidRPr="001214B0" w:rsidRDefault="00C775CA" w:rsidP="001214B0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No date: If you are citing a work without a date, use the abbreviation n.d. (for "no date"):</w:t>
      </w:r>
      <w:r w:rsid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In another study of students and research decisions, it was discovered that students</w:t>
      </w:r>
      <w:r w:rsid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succeeded with tutoring (Merriman, n.d.).</w:t>
      </w:r>
    </w:p>
    <w:p w:rsidR="00C775CA" w:rsidRPr="001214B0" w:rsidRDefault="00C775CA" w:rsidP="00C775CA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b/>
          <w:bCs/>
          <w:sz w:val="24"/>
          <w:szCs w:val="24"/>
          <w:lang w:val="en-US"/>
        </w:rPr>
        <w:t>Quotations</w:t>
      </w:r>
    </w:p>
    <w:p w:rsidR="00C775CA" w:rsidRPr="001214B0" w:rsidRDefault="00C775CA" w:rsidP="001214B0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If you are directly quoting from a work, you must include the author, year of publication, and the</w:t>
      </w:r>
      <w:r w:rsid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page number for the reference.</w:t>
      </w:r>
    </w:p>
    <w:p w:rsidR="00C775CA" w:rsidRPr="001214B0" w:rsidRDefault="00C775CA" w:rsidP="001214B0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b/>
          <w:bCs/>
          <w:sz w:val="24"/>
          <w:szCs w:val="24"/>
          <w:lang w:val="en-US"/>
        </w:rPr>
        <w:t>Short quotations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: To indicate quotations of fewer than 40 words in your text, enclose the</w:t>
      </w:r>
      <w:r w:rsid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quotation within double quotation marks. Provide the author, year, and specific page citation in</w:t>
      </w:r>
      <w:r w:rsid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the text, and include a complete reference in the reference list. Punctuation marks, such as</w:t>
      </w:r>
      <w:r w:rsid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periods, commas, and semicolons, should appear after the parenthetical citation. Question marks</w:t>
      </w:r>
      <w:r w:rsid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and exclamation points should appear within the quotation marks if they are a part of the</w:t>
      </w:r>
      <w:r w:rsid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quotation but after the parenthetical citation if they are a part of your text.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lastRenderedPageBreak/>
        <w:t>Examples: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Some psychoanalysts speak of illegal “ego-constricting drugs” (Falk, 2013, p. 302),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which have more serious effects than earlier believed.</w:t>
      </w:r>
    </w:p>
    <w:p w:rsidR="00C775CA" w:rsidRPr="001214B0" w:rsidRDefault="00C775CA" w:rsidP="001214B0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According to Falk (2013), "A subculture is a group who have had significantly different</w:t>
      </w:r>
      <w:r w:rsid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experiences from those of most members of any society" (p. 303).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Falk (2013) points out that ancient Greek medicine “holds that the locus of mental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disorders is in the brain" (p. 43), which reflects current day understanding.</w:t>
      </w:r>
    </w:p>
    <w:p w:rsidR="00C775CA" w:rsidRPr="001214B0" w:rsidRDefault="00C775CA" w:rsidP="00FB4FC3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b/>
          <w:bCs/>
          <w:sz w:val="24"/>
          <w:szCs w:val="24"/>
          <w:lang w:val="en-US"/>
        </w:rPr>
        <w:t>Long quotations (block quotes):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 xml:space="preserve"> Place quotations longer than 40 words in a freestanding block</w:t>
      </w:r>
      <w:r w:rsid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of typewritten, double-spaced lines, and omit quotation marks. Start the quotation on a new line</w:t>
      </w:r>
      <w:r w:rsid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and indent the whole block 1⁄2” from the text above it. Type the entire quotation using the new</w:t>
      </w:r>
      <w:r w:rsid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margin, and indent the first line of any subsequent paragraph within the quotation five spaces</w:t>
      </w:r>
      <w:r w:rsid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from the new margin. The parenthetical citation should come one space after the closing</w:t>
      </w:r>
      <w:r w:rsid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punctuation mark</w:t>
      </w:r>
      <w:r w:rsidR="00FB4FC3"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Example: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Falk (2013) points out that:</w:t>
      </w:r>
    </w:p>
    <w:p w:rsidR="00C775CA" w:rsidRPr="001214B0" w:rsidRDefault="00C775CA" w:rsidP="00FB4FC3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Because deinstitutionalization places the burden of care on the family[,] this is really a</w:t>
      </w:r>
      <w:r w:rsidR="00FB4F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feminist issue since in our culture women are the prime caregivers for ill persons who remain</w:t>
      </w:r>
      <w:r w:rsidR="00FB4F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at home. This may mean that a woman’s career will be disrupted or destroyed by the chronic</w:t>
      </w:r>
      <w:r w:rsidR="00FB4F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mental illness of a family member. (p. 53)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Note: In a blocked quote, set off any quote within the blocked quote with double quotation marks.</w:t>
      </w:r>
    </w:p>
    <w:p w:rsidR="00C775CA" w:rsidRPr="00FB4FC3" w:rsidRDefault="00C775CA" w:rsidP="00C775CA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B4FC3">
        <w:rPr>
          <w:rFonts w:asciiTheme="majorBidi" w:hAnsiTheme="majorBidi" w:cstheme="majorBidi"/>
          <w:b/>
          <w:bCs/>
          <w:sz w:val="24"/>
          <w:szCs w:val="24"/>
          <w:lang w:val="en-US"/>
        </w:rPr>
        <w:t>The References List</w:t>
      </w:r>
    </w:p>
    <w:p w:rsidR="00C775CA" w:rsidRPr="001214B0" w:rsidRDefault="00C775CA" w:rsidP="00FB4FC3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The References list appears immediately after your paper. It provides the information necessary</w:t>
      </w:r>
      <w:r w:rsidR="00FB4F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for a reader to locate and retrieve any cited information in the body of the paper. Each source</w:t>
      </w:r>
      <w:r w:rsidR="00FB4F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cited in the paper must appear in the References list; likewise, each entry in the References list</w:t>
      </w:r>
      <w:r w:rsidR="00FB4F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must be used and cited in the text.</w:t>
      </w:r>
    </w:p>
    <w:p w:rsidR="00C775CA" w:rsidRPr="001214B0" w:rsidRDefault="00C775CA" w:rsidP="00FB4FC3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Your References page(s) should begin on a separate page from the text under the label</w:t>
      </w:r>
      <w:r w:rsidR="00FB4F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References, in bold, centered at the top of the page. The Reference page(s) should be double-</w:t>
      </w:r>
      <w:r w:rsidR="00FB4F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spaced and use hanging indentation, with pagination continued following the last page of the</w:t>
      </w:r>
      <w:r w:rsidR="00FB4F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paper because it is considered a part of the text.</w:t>
      </w:r>
    </w:p>
    <w:p w:rsidR="00C775CA" w:rsidRPr="00FB4FC3" w:rsidRDefault="00C775CA" w:rsidP="00C775CA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B4FC3">
        <w:rPr>
          <w:rFonts w:asciiTheme="majorBidi" w:hAnsiTheme="majorBidi" w:cstheme="majorBidi"/>
          <w:b/>
          <w:bCs/>
          <w:sz w:val="24"/>
          <w:szCs w:val="24"/>
          <w:lang w:val="en-US"/>
        </w:rPr>
        <w:t>Basic Rules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1. All authors' names are inverted (last name first); give the last name and initials for all</w:t>
      </w:r>
      <w:r w:rsidR="00FB4F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 xml:space="preserve">authors of a particular work. If an author uses more than one initial, place one </w:t>
      </w:r>
      <w:r w:rsidR="00AE37C1" w:rsidRPr="001214B0">
        <w:rPr>
          <w:rFonts w:asciiTheme="majorBidi" w:hAnsiTheme="majorBidi" w:cstheme="majorBidi"/>
          <w:sz w:val="24"/>
          <w:szCs w:val="24"/>
          <w:lang w:val="en-US"/>
        </w:rPr>
        <w:t>space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between each initial (example: Jones, N. H.).</w:t>
      </w:r>
    </w:p>
    <w:p w:rsidR="00C775CA" w:rsidRPr="001214B0" w:rsidRDefault="00C775CA" w:rsidP="00FB4FC3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lastRenderedPageBreak/>
        <w:t>2. The References list is alphabetized by authors' last names or corporate/organization</w:t>
      </w:r>
      <w:r w:rsidR="00FB4F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names. If no author is given for a particular source, alphabetize using the title of the</w:t>
      </w:r>
      <w:r w:rsidR="00FB4F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work, which will be listed in place of the author. Alphabetize by the first major word in</w:t>
      </w:r>
      <w:r w:rsidR="00FB4F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AE37C1" w:rsidRPr="001214B0">
        <w:rPr>
          <w:rFonts w:asciiTheme="majorBidi" w:hAnsiTheme="majorBidi" w:cstheme="majorBidi"/>
          <w:sz w:val="24"/>
          <w:szCs w:val="24"/>
          <w:lang w:val="en-US"/>
        </w:rPr>
        <w:t>title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 xml:space="preserve"> (no “A,” “The,” etc.). Use a shortened version of the title, in quotes, for</w:t>
      </w:r>
      <w:r w:rsidR="00FB4F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parenthetical citations.</w:t>
      </w:r>
    </w:p>
    <w:p w:rsidR="00C775CA" w:rsidRPr="001214B0" w:rsidRDefault="00C775CA" w:rsidP="00FB4FC3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3. List surnames and initials for up to 20 authors. When authors number 21 or more, include</w:t>
      </w:r>
      <w:r w:rsidR="00FB4F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the first 19 names, followed by an ellipses (but no ampersand), and then the final author’s</w:t>
      </w:r>
      <w:r w:rsidR="00FB4F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name. See APA 10.01, example 4.</w:t>
      </w:r>
    </w:p>
    <w:p w:rsidR="00C775CA" w:rsidRPr="001214B0" w:rsidRDefault="00C775CA" w:rsidP="00FB4FC3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 xml:space="preserve">4. Personal communications or other </w:t>
      </w:r>
      <w:r w:rsidR="00AE37C1" w:rsidRPr="001214B0">
        <w:rPr>
          <w:rFonts w:asciiTheme="majorBidi" w:hAnsiTheme="majorBidi" w:cstheme="majorBidi"/>
          <w:sz w:val="24"/>
          <w:szCs w:val="24"/>
          <w:lang w:val="en-US"/>
        </w:rPr>
        <w:t>no retrievable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 xml:space="preserve"> information are not cited in your</w:t>
      </w:r>
      <w:r w:rsidR="00FB4F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References. However, you do need to make reference to these sources in your in-text</w:t>
      </w:r>
      <w:r w:rsidR="00FB4FC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citations.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5. If you have more than one work by a particular author, order them by publication date,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starting with the oldest (a 2016 article would be listed before a 2018 article).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6. When an author appears both as a sole author and, in another citation, as the first author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of a group, list the one-author entries first.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7. Use "&amp;" (ampersand) instead of "and" when listing multiple authors of a single work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(also used in in-text parenthetical citations).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 xml:space="preserve">Below are examples for some of the most commonly cited types of sources. 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Fixed Media Sources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1. Journal article, one to two authors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Johnson, M. K. (2013). Investigating the relationship of nutrition- and exercise-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compromising health impairments with Autism Spectrum Disorders among children with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special health care needs. American Journal of Health Education, 44(4), 221-8.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2. Journal article, three to 20 authors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Grady, J. S., Her, M., Moreno, G., Perez, C., &amp; Yelinek, J. (2019). Emotions in storybooks: A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comparison of storybooks that represent ethnic and racial groups in the United States.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Psychology of Popular Media Culture, 8(3), 207–217.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parenthetical: (Grady et al., 2019)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narrative: Grady et al. (2019) . . .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3. Journal Article 21 or more authors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For a work with up to 20 authors, include all of the names in the reference. When the work has 21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or more authors, include only the first 19 names, an ellipsis (but no ampersand), and the final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E37C1" w:rsidRPr="001214B0">
        <w:rPr>
          <w:rFonts w:asciiTheme="majorBidi" w:hAnsiTheme="majorBidi" w:cstheme="majorBidi"/>
          <w:sz w:val="24"/>
          <w:szCs w:val="24"/>
          <w:lang w:val="en-US"/>
        </w:rPr>
        <w:t>name.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lastRenderedPageBreak/>
        <w:t>Wiskunde, B., Arslan, M., Fischer, P., Nowak, L., Van den Berg, O., Coetzee, L., Juárez, U.,Riyaziyyat, E., Wang, C., Zhang, I., Li, P., Yang, R., Kumar, B., Xu, A., Martinez, R.,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McIntosh, V., Ibáñez, L. M., Mäkinen, G., Virtanen, E., . . . Kovács, A. (2019). Indie pop10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rocks mathematics: Twenty One Pilots, Nicolas Bourbaki, and the empty set. Journal of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Improbable Mathematics, 27(1), 1935–1968.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4. An article with no author or editor named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HIV treatment reduced risk for malaria recurrence in children. (2012). Infectious Disease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News 25(12), 41-43.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parenthetical: (“HIV Treatment,” 2012)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NOTE: For parenthetical citations of sources with no author named, use a shortened version of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the title instead of an author's name. Use quotation marks and italics as appropriate. For example,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parenthetical citations of the source above would appear as follows: ("HIV Treatment," 2012).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5. An anonymous author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When an author is not named, begin the citation with the source title followed by the rest of the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required citation information. If, and only if, the the source is signed “Anonymous,” use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“anonymous” as the author.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7. Book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In 7th ed., place of publication is no longer used.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LeFever Kee, J., Hayes, E. R., &amp; McCuistion, L. E. (2015). Pharmacology: A patient-centered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nursing process approach. Elsevier/Saunders.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8. Chapter in a book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LeFever Kee, J., Hayes, E. R., &amp; McCuistion, L. E. (2015). A nurse’s perspective of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pharmacology. In J. Jones (Ed.) Pharmacology: A patient-centered nursing process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approach (pp. 105-133). Elsevier/Saunders.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Electronic Sources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DOI and URL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Online content tends to be moved, restructured, or deleted, which results in broken hyperlinks and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nonworking URLs. Thus, scholarly publishers assign a digital object identifier or DOI to articles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and other documents in order to provide a persistent link and maintain retrievability. All DOI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numbers begin with a 10 and contain a (4 number) prefix plus a suffix separated by a slash.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• A DOI may be found in scholarly journal articles, but it may appear with other kinds of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sources as well. Always use the DOI if it is listed.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• If an online work has both a DOI and a URL, include only the DOI.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lastRenderedPageBreak/>
        <w:t>• In your References list, standardize DOIs into the current, preferred format, even though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the article presented the DOI in the older format.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Correct format example: https://doi.org/10.1037/a0040251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• When citing the DOI, there is no space between DOI and the number itself (see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examples). No period follows the DOI at the end of the citation.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• The DOI is usually located on the first page of the electronic article. It can also be located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on the Full Record Display Search page of an article or at the end of an article.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• See APA 9.34 for information on when to include DOIs and URLs.</w:t>
      </w:r>
    </w:p>
    <w:p w:rsidR="00C775CA" w:rsidRPr="001214B0" w:rsidRDefault="00C775CA" w:rsidP="00AE37C1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14.With DOI: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Grady, J. S., Her, M., Moreno, G., Perez, C., &amp; Yelinek, J. (2019). Emotions in storybooks: A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comparison of storybooks that represent ethnic and racial groups in the United States.</w:t>
      </w:r>
      <w:r w:rsidR="00AE37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Psychology of Popular Media Culture, 8(3), 207–217.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</w:rPr>
      </w:pPr>
      <w:r w:rsidRPr="001214B0">
        <w:rPr>
          <w:rFonts w:asciiTheme="majorBidi" w:hAnsiTheme="majorBidi" w:cstheme="majorBidi"/>
          <w:sz w:val="24"/>
          <w:szCs w:val="24"/>
        </w:rPr>
        <w:t>https://doi.org/10.1037/ppm0000185</w:t>
      </w:r>
    </w:p>
    <w:p w:rsidR="00C775CA" w:rsidRPr="001214B0" w:rsidRDefault="00C775CA" w:rsidP="0002596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</w:rPr>
        <w:t xml:space="preserve">American Psychological Association.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(2013). Diagnostic and statistical manual of mental</w:t>
      </w:r>
      <w:r w:rsidR="000259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disorders (5th ed.). https://doi.org/10.1176/appi.books.9780890425596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15. Without a DOI:</w:t>
      </w:r>
    </w:p>
    <w:p w:rsidR="00C775CA" w:rsidRPr="001214B0" w:rsidRDefault="00C775CA" w:rsidP="0002596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For works without DOIs that are from most university/academic research databases, do not</w:t>
      </w:r>
      <w:r w:rsidR="000259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include a URL because these works are widely available. Examples of such academic research</w:t>
      </w:r>
      <w:r w:rsidR="000259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databases and platforms include APA Psyc</w:t>
      </w:r>
      <w:r w:rsidR="000259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NET, Psyc</w:t>
      </w:r>
      <w:r w:rsidR="000259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INFO, Academic Search Complete,</w:t>
      </w:r>
      <w:r w:rsidR="000259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CINAHL, Ebook Central, EBSCO</w:t>
      </w:r>
      <w:r w:rsidR="000259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host, Google Scholar, JSTOR (excluding its primary sources</w:t>
      </w:r>
      <w:r w:rsidR="000259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collection because these are works of limited distribution), MEDLINE, Nexis Uni, Ovid,</w:t>
      </w:r>
      <w:r w:rsidR="000259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Pro</w:t>
      </w:r>
      <w:r w:rsidR="000259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Quest (excluding its dissertations and theses databases because dissertations and theses are</w:t>
      </w:r>
      <w:r w:rsidR="000259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works of limited circulation), Pub</w:t>
      </w:r>
      <w:r w:rsidR="000259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Med Central (excluding authors’ final peer-reviewed</w:t>
      </w:r>
      <w:r w:rsidR="000259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manuscripts because these are works of limited circulation), Science</w:t>
      </w:r>
      <w:r w:rsidR="000259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Direct, Scopus, and Web of</w:t>
      </w:r>
      <w:r w:rsidR="000259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Science.</w:t>
      </w:r>
    </w:p>
    <w:p w:rsidR="00C775CA" w:rsidRPr="001214B0" w:rsidRDefault="00C775CA" w:rsidP="0002596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For works from websites that don’t have DOIs (excluding the above), include a URL in the</w:t>
      </w:r>
      <w:r w:rsidR="000259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Reference citation.</w:t>
      </w:r>
    </w:p>
    <w:p w:rsidR="00C775CA" w:rsidRPr="001214B0" w:rsidRDefault="00C775CA" w:rsidP="0002596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Stein, M. B., &amp; Taylor, C. T. (2019). Approach to treating social anxiety disorder in adults.</w:t>
      </w:r>
      <w:r w:rsidR="000259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UpToDate. Retrieved September 13, 2019, from</w:t>
      </w:r>
      <w:r w:rsidR="000259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214B0">
        <w:rPr>
          <w:rFonts w:asciiTheme="majorBidi" w:hAnsiTheme="majorBidi" w:cstheme="majorBidi"/>
          <w:sz w:val="24"/>
          <w:szCs w:val="24"/>
          <w:lang w:val="en-US"/>
        </w:rPr>
        <w:t>https://www.uptodate.com/contents/approach-to-treating-social-anxiety-disorder-in-</w:t>
      </w:r>
    </w:p>
    <w:p w:rsidR="00C775CA" w:rsidRPr="001214B0" w:rsidRDefault="00C775CA" w:rsidP="00C775CA">
      <w:pPr>
        <w:rPr>
          <w:rFonts w:asciiTheme="majorBidi" w:hAnsiTheme="majorBidi" w:cstheme="majorBidi"/>
          <w:sz w:val="24"/>
          <w:szCs w:val="24"/>
          <w:lang w:val="en-US"/>
        </w:rPr>
      </w:pPr>
      <w:r w:rsidRPr="001214B0">
        <w:rPr>
          <w:rFonts w:asciiTheme="majorBidi" w:hAnsiTheme="majorBidi" w:cstheme="majorBidi"/>
          <w:sz w:val="24"/>
          <w:szCs w:val="24"/>
          <w:lang w:val="en-US"/>
        </w:rPr>
        <w:t>adults</w:t>
      </w:r>
    </w:p>
    <w:p w:rsidR="006706D8" w:rsidRPr="001214B0" w:rsidRDefault="006706D8" w:rsidP="00C775CA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6706D8" w:rsidRPr="001214B0" w:rsidSect="006706D8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09A" w:rsidRDefault="00E8209A" w:rsidP="0002596A">
      <w:pPr>
        <w:spacing w:after="0" w:line="240" w:lineRule="auto"/>
      </w:pPr>
      <w:r>
        <w:separator/>
      </w:r>
    </w:p>
  </w:endnote>
  <w:endnote w:type="continuationSeparator" w:id="1">
    <w:p w:rsidR="00E8209A" w:rsidRDefault="00E8209A" w:rsidP="0002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0392"/>
      <w:docPartObj>
        <w:docPartGallery w:val="Page Numbers (Bottom of Page)"/>
        <w:docPartUnique/>
      </w:docPartObj>
    </w:sdtPr>
    <w:sdtContent>
      <w:p w:rsidR="0002596A" w:rsidRDefault="0002596A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2596A" w:rsidRDefault="0002596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09A" w:rsidRDefault="00E8209A" w:rsidP="0002596A">
      <w:pPr>
        <w:spacing w:after="0" w:line="240" w:lineRule="auto"/>
      </w:pPr>
      <w:r>
        <w:separator/>
      </w:r>
    </w:p>
  </w:footnote>
  <w:footnote w:type="continuationSeparator" w:id="1">
    <w:p w:rsidR="00E8209A" w:rsidRDefault="00E8209A" w:rsidP="00025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5CA"/>
    <w:rsid w:val="0002596A"/>
    <w:rsid w:val="000C1C80"/>
    <w:rsid w:val="001214B0"/>
    <w:rsid w:val="001659AC"/>
    <w:rsid w:val="006706D8"/>
    <w:rsid w:val="00AE37C1"/>
    <w:rsid w:val="00C73B46"/>
    <w:rsid w:val="00C775CA"/>
    <w:rsid w:val="00E8209A"/>
    <w:rsid w:val="00FB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6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25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2596A"/>
  </w:style>
  <w:style w:type="paragraph" w:styleId="Pieddepage">
    <w:name w:val="footer"/>
    <w:basedOn w:val="Normal"/>
    <w:link w:val="PieddepageCar"/>
    <w:uiPriority w:val="99"/>
    <w:unhideWhenUsed/>
    <w:rsid w:val="000259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59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1668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laibteck</dc:creator>
  <cp:lastModifiedBy>laibteck</cp:lastModifiedBy>
  <cp:revision>5</cp:revision>
  <dcterms:created xsi:type="dcterms:W3CDTF">2022-04-15T12:20:00Z</dcterms:created>
  <dcterms:modified xsi:type="dcterms:W3CDTF">2022-04-18T20:39:00Z</dcterms:modified>
</cp:coreProperties>
</file>