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A6" w:rsidRDefault="00A958A6" w:rsidP="00AD2B5E">
      <w:pPr>
        <w:bidi/>
        <w:spacing w:after="120" w:line="276" w:lineRule="auto"/>
        <w:rPr>
          <w:sz w:val="30"/>
          <w:szCs w:val="30"/>
          <w:rtl/>
        </w:rPr>
      </w:pPr>
    </w:p>
    <w:p w:rsidR="00AD2B5E" w:rsidRPr="00AD2B5E" w:rsidRDefault="00AD2B5E" w:rsidP="00AD2B5E">
      <w:pPr>
        <w:bidi/>
        <w:spacing w:after="120" w:line="276" w:lineRule="auto"/>
        <w:rPr>
          <w:sz w:val="30"/>
          <w:szCs w:val="30"/>
          <w:rtl/>
        </w:rPr>
      </w:pPr>
    </w:p>
    <w:p w:rsidR="004269E6" w:rsidRPr="00AD2B5E" w:rsidRDefault="000C055E" w:rsidP="00AD2B5E">
      <w:pPr>
        <w:bidi/>
        <w:spacing w:after="120" w:line="276" w:lineRule="auto"/>
        <w:jc w:val="center"/>
        <w:rPr>
          <w:b/>
          <w:bCs/>
          <w:sz w:val="36"/>
          <w:szCs w:val="36"/>
          <w:rtl/>
          <w:lang w:bidi="ar-DZ"/>
        </w:rPr>
      </w:pPr>
      <w:r w:rsidRPr="00AD2B5E">
        <w:rPr>
          <w:rFonts w:hint="cs"/>
          <w:b/>
          <w:bCs/>
          <w:sz w:val="36"/>
          <w:szCs w:val="36"/>
          <w:rtl/>
          <w:lang w:bidi="ar-DZ"/>
        </w:rPr>
        <w:t>دفاتر بيت المال</w:t>
      </w:r>
    </w:p>
    <w:p w:rsidR="00577B8D" w:rsidRPr="00AD2B5E" w:rsidRDefault="00577B8D" w:rsidP="00AD2B5E">
      <w:pPr>
        <w:bidi/>
        <w:spacing w:after="120" w:line="276" w:lineRule="auto"/>
        <w:rPr>
          <w:sz w:val="30"/>
          <w:szCs w:val="30"/>
          <w:rtl/>
        </w:rPr>
      </w:pPr>
    </w:p>
    <w:p w:rsidR="00893E16" w:rsidRPr="00AD2B5E" w:rsidRDefault="00893E16" w:rsidP="00AD2B5E">
      <w:pPr>
        <w:bidi/>
        <w:spacing w:after="120" w:line="276" w:lineRule="auto"/>
        <w:rPr>
          <w:sz w:val="30"/>
          <w:szCs w:val="30"/>
          <w:rtl/>
        </w:rPr>
      </w:pPr>
    </w:p>
    <w:p w:rsidR="00577B8D" w:rsidRPr="00AD2B5E" w:rsidRDefault="00577B8D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AD2B5E">
        <w:rPr>
          <w:rFonts w:ascii="Bahij Lotus" w:hAnsi="Bahij Lotus" w:cs="Bahij Lotus"/>
          <w:spacing w:val="4"/>
          <w:sz w:val="30"/>
          <w:szCs w:val="30"/>
          <w:rtl/>
        </w:rPr>
        <w:t>لقد عنى مصطلح بيت المال في التاريخ الإسلامي بشكل عامّ الإدارة الّتي اهتمّت بحفظ الأموال</w:t>
      </w:r>
      <w:r w:rsidRPr="00AD2B5E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proofErr w:type="gramStart"/>
      <w:r w:rsidRPr="00AD2B5E">
        <w:rPr>
          <w:rFonts w:ascii="Bahij Lotus" w:hAnsi="Bahij Lotus" w:cs="Bahij Lotus"/>
          <w:spacing w:val="2"/>
          <w:sz w:val="30"/>
          <w:szCs w:val="30"/>
          <w:rtl/>
        </w:rPr>
        <w:t>و تنظيمها</w:t>
      </w:r>
      <w:proofErr w:type="gramEnd"/>
      <w:r w:rsidRPr="00AD2B5E">
        <w:rPr>
          <w:rFonts w:ascii="Bahij Lotus" w:hAnsi="Bahij Lotus" w:cs="Bahij Lotus"/>
          <w:spacing w:val="2"/>
          <w:sz w:val="30"/>
          <w:szCs w:val="30"/>
          <w:rtl/>
        </w:rPr>
        <w:t xml:space="preserve">، أو بتعبير آخر 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>جمع</w:t>
      </w:r>
      <w:r w:rsidRPr="00AD2B5E">
        <w:rPr>
          <w:rFonts w:ascii="Bahij Lotus" w:hAnsi="Bahij Lotus" w:cs="Bahij Lotus"/>
          <w:spacing w:val="2"/>
          <w:sz w:val="30"/>
          <w:szCs w:val="30"/>
          <w:rtl/>
        </w:rPr>
        <w:t xml:space="preserve"> الموارد المالية الّتي نصّ عليها الشرع و صرفها في الأوجه الّتي تخدم المصلحة العامّة للدولة الإسلامية و المسلمين.</w:t>
      </w:r>
    </w:p>
    <w:p w:rsidR="00577B8D" w:rsidRPr="00AD2B5E" w:rsidRDefault="0072012A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AD2B5E">
        <w:rPr>
          <w:rFonts w:ascii="Bahij Lotus" w:hAnsi="Bahij Lotus" w:cs="Bahij Lotus" w:hint="cs"/>
          <w:spacing w:val="5"/>
          <w:sz w:val="30"/>
          <w:szCs w:val="30"/>
          <w:rtl/>
        </w:rPr>
        <w:t xml:space="preserve">غني عن الذكر أنّ هذه المؤسّسة المالية عرفت تطوّرًا ملحوظًا </w:t>
      </w:r>
      <w:r w:rsidR="009E10E3" w:rsidRPr="00AD2B5E">
        <w:rPr>
          <w:rFonts w:ascii="Bahij Lotus" w:hAnsi="Bahij Lotus" w:cs="Bahij Lotus" w:hint="cs"/>
          <w:spacing w:val="5"/>
          <w:sz w:val="30"/>
          <w:szCs w:val="30"/>
          <w:rtl/>
        </w:rPr>
        <w:t>ناجم</w:t>
      </w:r>
      <w:r w:rsidRPr="00AD2B5E">
        <w:rPr>
          <w:rFonts w:ascii="Bahij Lotus" w:hAnsi="Bahij Lotus" w:cs="Bahij Lotus" w:hint="cs"/>
          <w:spacing w:val="5"/>
          <w:sz w:val="30"/>
          <w:szCs w:val="30"/>
          <w:rtl/>
        </w:rPr>
        <w:t xml:space="preserve"> عن توسّع الدولة الإسلامية</w:t>
      </w:r>
      <w:r w:rsidR="00131306" w:rsidRPr="00AD2B5E">
        <w:rPr>
          <w:rFonts w:ascii="Bahij Lotus" w:hAnsi="Bahij Lotus" w:cs="Bahij Lotus" w:hint="cs"/>
          <w:spacing w:val="5"/>
          <w:sz w:val="30"/>
          <w:szCs w:val="30"/>
          <w:rtl/>
        </w:rPr>
        <w:t>،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proofErr w:type="gramStart"/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>و من</w:t>
      </w:r>
      <w:proofErr w:type="gramEnd"/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ثمّ انقسامها</w:t>
      </w:r>
      <w:r w:rsidR="000C1AC7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. 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و خلال الفترة العثمانية في الجزائر، </w:t>
      </w:r>
      <w:r w:rsidR="00131306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كان بيت المال </w:t>
      </w:r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ك</w:t>
      </w:r>
      <w:r w:rsidR="00131306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أحد مؤسّسات الدولة </w:t>
      </w:r>
      <w:proofErr w:type="spellStart"/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يتموقع</w:t>
      </w:r>
      <w:proofErr w:type="spellEnd"/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من حيث الأهمّية بعد الخزينة الكبرى </w:t>
      </w:r>
      <w:proofErr w:type="gramStart"/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 الّتي</w:t>
      </w:r>
      <w:proofErr w:type="gramEnd"/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يكنز فيها احتياطي الدولة من فائض الأموال و النفائس 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</w:t>
      </w:r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خزينة الباشا 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</w:t>
      </w:r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الّتي كانت تودع فيها 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ال</w:t>
      </w:r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موارد ال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ضريبية</w:t>
      </w:r>
      <w:r w:rsidR="00A95BA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EA29C5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المخصّصة لنفقات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الدولة -</w:t>
      </w:r>
      <w:r w:rsidR="000C1AC7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؛ </w:t>
      </w:r>
      <w:r w:rsidR="00EA29C5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فقد اكتسبت هذه </w:t>
      </w:r>
      <w:r w:rsidR="00EA29C5" w:rsidRPr="00AD2B5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المؤسّسة </w:t>
      </w:r>
      <w:r w:rsidR="00016100" w:rsidRPr="00AD2B5E">
        <w:rPr>
          <w:rFonts w:ascii="Bahij Lotus" w:hAnsi="Bahij Lotus" w:cs="Bahij Lotus" w:hint="cs"/>
          <w:spacing w:val="4"/>
          <w:sz w:val="30"/>
          <w:szCs w:val="30"/>
          <w:rtl/>
        </w:rPr>
        <w:t>مكانة</w:t>
      </w:r>
      <w:r w:rsidR="00EA29C5" w:rsidRPr="00AD2B5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كبيرة </w:t>
      </w:r>
      <w:r w:rsidR="00016100" w:rsidRPr="00AD2B5E">
        <w:rPr>
          <w:rFonts w:ascii="Bahij Lotus" w:hAnsi="Bahij Lotus" w:cs="Bahij Lotus" w:hint="cs"/>
          <w:spacing w:val="4"/>
          <w:sz w:val="30"/>
          <w:szCs w:val="30"/>
          <w:rtl/>
        </w:rPr>
        <w:t>نظرًا لوجهة نفقاتها الخيرية على الفقراء و العاجزين و التكفّل بدفن الم</w:t>
      </w:r>
      <w:r w:rsidR="006E5A82" w:rsidRPr="00AD2B5E">
        <w:rPr>
          <w:rFonts w:ascii="Bahij Lotus" w:hAnsi="Bahij Lotus" w:cs="Bahij Lotus" w:hint="cs"/>
          <w:spacing w:val="4"/>
          <w:sz w:val="30"/>
          <w:szCs w:val="30"/>
          <w:rtl/>
        </w:rPr>
        <w:t>عوّزين</w:t>
      </w:r>
      <w:r w:rsidR="006E5A82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عابري السبيل</w:t>
      </w:r>
      <w:r w:rsidR="00016100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، علاوةً على </w:t>
      </w:r>
      <w:r w:rsidR="003E2FFA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صبّ</w:t>
      </w:r>
      <w:r w:rsidR="006E5A82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ها</w:t>
      </w:r>
      <w:r w:rsidR="003E2FFA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جزء</w:t>
      </w:r>
      <w:r w:rsidR="000C055E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ًا</w:t>
      </w:r>
      <w:r w:rsidR="003E2FFA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من مداخيلها </w:t>
      </w:r>
      <w:r w:rsidR="006E5A82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</w:t>
      </w:r>
      <w:r w:rsidR="003E2FFA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رغم كونها مستقلّة بذاتها من حيث التسيير - بشكل منتظم في خزينة الدولة</w:t>
      </w:r>
      <w:r w:rsidR="000D593B" w:rsidRPr="00AD2B5E">
        <w:rPr>
          <w:rFonts w:ascii="Bahij Lotus" w:hAnsi="Bahij Lotus" w:cs="Bahij Lotus" w:hint="cs"/>
          <w:spacing w:val="2"/>
          <w:sz w:val="30"/>
          <w:szCs w:val="30"/>
          <w:rtl/>
        </w:rPr>
        <w:t>.</w:t>
      </w:r>
    </w:p>
    <w:p w:rsidR="006E5A82" w:rsidRPr="00AD2B5E" w:rsidRDefault="006E5A82" w:rsidP="00AD2B5E">
      <w:pPr>
        <w:bidi/>
        <w:spacing w:after="120" w:line="276" w:lineRule="auto"/>
        <w:jc w:val="both"/>
        <w:rPr>
          <w:rFonts w:ascii="Bahij Lotus" w:hAnsi="Bahij Lotus" w:cs="Bahij Lotus"/>
          <w:sz w:val="30"/>
          <w:szCs w:val="30"/>
          <w:rtl/>
        </w:rPr>
      </w:pPr>
    </w:p>
    <w:p w:rsidR="003E2FFA" w:rsidRPr="00AD2B5E" w:rsidRDefault="003E2FFA" w:rsidP="00AD2B5E">
      <w:pPr>
        <w:bidi/>
        <w:spacing w:after="120" w:line="276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 w:rsidRPr="00AD2B5E">
        <w:rPr>
          <w:rFonts w:ascii="Bahij Lotus" w:hAnsi="Bahij Lotus" w:cs="Bahij Lotus" w:hint="cs"/>
          <w:b/>
          <w:bCs/>
          <w:sz w:val="30"/>
          <w:szCs w:val="30"/>
          <w:rtl/>
        </w:rPr>
        <w:t>مؤسّسة بيت المال</w:t>
      </w:r>
    </w:p>
    <w:p w:rsidR="009C0D1A" w:rsidRPr="00AD2B5E" w:rsidRDefault="00125174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z w:val="30"/>
          <w:szCs w:val="30"/>
          <w:rtl/>
        </w:rPr>
      </w:pPr>
      <w:r w:rsidRPr="00AD2B5E">
        <w:rPr>
          <w:rFonts w:ascii="Bahij Lotus" w:hAnsi="Bahij Lotus" w:cs="Bahij Lotus" w:hint="cs"/>
          <w:sz w:val="30"/>
          <w:szCs w:val="30"/>
          <w:rtl/>
        </w:rPr>
        <w:t xml:space="preserve">تمثّل نشاط مؤسّسة بيت المال في الاعتناء بتسيير الأملاك العائدة إلى اليتامى </w:t>
      </w:r>
      <w:proofErr w:type="gramStart"/>
      <w:r w:rsidRPr="00AD2B5E">
        <w:rPr>
          <w:rFonts w:ascii="Bahij Lotus" w:hAnsi="Bahij Lotus" w:cs="Bahij Lotus" w:hint="cs"/>
          <w:sz w:val="30"/>
          <w:szCs w:val="30"/>
          <w:rtl/>
        </w:rPr>
        <w:t>و الغائبين</w:t>
      </w:r>
      <w:proofErr w:type="gramEnd"/>
      <w:r w:rsidRPr="00AD2B5E">
        <w:rPr>
          <w:rFonts w:ascii="Bahij Lotus" w:hAnsi="Bahij Lotus" w:cs="Bahij Lotus" w:hint="cs"/>
          <w:sz w:val="30"/>
          <w:szCs w:val="30"/>
          <w:rtl/>
        </w:rPr>
        <w:t xml:space="preserve">، و ضمان حصّة الدولة من التركات حسب الأحكام الشرعية، و من هنا اكتسبت نوعًا من الاستقلال عن مؤسّسة الأوقاف الّتي ترمي تشريعاتها إلى الحيلولة دون استيلاء الدولة </w:t>
      </w:r>
      <w:r w:rsidRPr="00AD2B5E">
        <w:rPr>
          <w:rFonts w:ascii="Bahij Lotus" w:hAnsi="Bahij Lotus" w:cs="Bahij Lotus"/>
          <w:sz w:val="30"/>
          <w:szCs w:val="30"/>
          <w:rtl/>
        </w:rPr>
        <w:t>–</w:t>
      </w:r>
      <w:r w:rsidRPr="00AD2B5E">
        <w:rPr>
          <w:rFonts w:ascii="Bahij Lotus" w:hAnsi="Bahij Lotus" w:cs="Bahij Lotus" w:hint="cs"/>
          <w:sz w:val="30"/>
          <w:szCs w:val="30"/>
          <w:rtl/>
        </w:rPr>
        <w:t xml:space="preserve"> عن طريق بيت المال </w:t>
      </w:r>
      <w:r w:rsidRPr="00AD2B5E">
        <w:rPr>
          <w:rFonts w:ascii="Bahij Lotus" w:hAnsi="Bahij Lotus" w:cs="Bahij Lotus"/>
          <w:sz w:val="30"/>
          <w:szCs w:val="30"/>
          <w:rtl/>
        </w:rPr>
        <w:t>–</w:t>
      </w:r>
      <w:r w:rsidRPr="00AD2B5E">
        <w:rPr>
          <w:rFonts w:ascii="Bahij Lotus" w:hAnsi="Bahij Lotus" w:cs="Bahij Lotus" w:hint="cs"/>
          <w:sz w:val="30"/>
          <w:szCs w:val="30"/>
          <w:rtl/>
        </w:rPr>
        <w:t xml:space="preserve"> على أملاك الأوقاف و الأحباس</w:t>
      </w:r>
      <w:r w:rsidR="009C0D1A" w:rsidRPr="00AD2B5E">
        <w:rPr>
          <w:rFonts w:ascii="Bahij Lotus" w:hAnsi="Bahij Lotus" w:cs="Bahij Lotus" w:hint="cs"/>
          <w:sz w:val="30"/>
          <w:szCs w:val="30"/>
          <w:rtl/>
        </w:rPr>
        <w:t>.</w:t>
      </w:r>
    </w:p>
    <w:p w:rsidR="003E2FFA" w:rsidRPr="00AD2B5E" w:rsidRDefault="009C0D1A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كان يدير هذه المؤسّسة موظّف سامي يدعى بيت مالجي، </w:t>
      </w:r>
      <w:r w:rsidR="00B85D43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ناظر بيت المال 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>أو</w:t>
      </w:r>
      <w:r w:rsidR="00B85D43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أيضًا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المكلّف بشغل المواريث </w:t>
      </w:r>
      <w:proofErr w:type="gramStart"/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t>المخزنية ؛</w:t>
      </w:r>
      <w:proofErr w:type="gramEnd"/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t xml:space="preserve"> و كان يتولّى بوجه عامّ مهمّة حصر و مراقبة تركات جميع الأشخاص المتوفّين الّذين 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lastRenderedPageBreak/>
        <w:t xml:space="preserve">لم يخلّفوا </w:t>
      </w:r>
      <w:proofErr w:type="spellStart"/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t>عاصبًا</w:t>
      </w:r>
      <w:proofErr w:type="spellEnd"/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t>، و الغ</w:t>
      </w:r>
      <w:r w:rsidR="00465AA1" w:rsidRPr="00AD2B5E">
        <w:rPr>
          <w:rFonts w:ascii="Bahij Lotus" w:hAnsi="Bahij Lotus" w:cs="Bahij Lotus" w:hint="cs"/>
          <w:spacing w:val="-2"/>
          <w:sz w:val="30"/>
          <w:szCs w:val="30"/>
          <w:rtl/>
        </w:rPr>
        <w:t>ُ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</w:rPr>
        <w:t>يّب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EB5F2C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</w:t>
      </w:r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مثلما هو حال الأسرى </w:t>
      </w:r>
      <w:r w:rsidR="00BE60AD" w:rsidRPr="00AD2B5E">
        <w:rPr>
          <w:rFonts w:ascii="Bahij Lotus" w:hAnsi="Bahij Lotus" w:cs="Bahij Lotus" w:hint="cs"/>
          <w:spacing w:val="2"/>
          <w:sz w:val="30"/>
          <w:szCs w:val="30"/>
          <w:rtl/>
        </w:rPr>
        <w:t>- و المفقودين</w:t>
      </w:r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</w:rPr>
        <w:t>الّذين</w:t>
      </w:r>
      <w:r w:rsidR="00125174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يطول غيابهم بحيث يعدّون في عداد الموتى. </w:t>
      </w:r>
      <w:proofErr w:type="gramStart"/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و كان</w:t>
      </w:r>
      <w:proofErr w:type="gramEnd"/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الميت لا يدفن إلاّ بترخيص (تذكرة) من البيت مالجي، و لا تقسم أيّ تركة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465AA1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يكون فيها حظّ لبيت المال إلاّ ب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إشراف مؤسّسته</w:t>
      </w:r>
      <w:r w:rsidR="00EB5F2C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،</w:t>
      </w:r>
      <w:r w:rsidR="00BE60AD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EB5F2C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حيث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كان يتوجّه </w:t>
      </w:r>
      <w:r w:rsidR="00142C08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اثن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ان </w:t>
      </w:r>
      <w:r w:rsidR="00142C08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من العدول 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إلى محلّ سكنى المتوفّى، فيقيّدان جميع مخلّفات الهالك، و يتمّ نقل الأشياء القيّمة الّتي يخشى ضياعها. و إذا كان الميّت أجنبيًا مجهولاً أو كان أهله متغيّبين، فإنّ بيت المال يحفظ </w:t>
      </w:r>
      <w:proofErr w:type="gramStart"/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حقوقهم ؛</w:t>
      </w:r>
      <w:proofErr w:type="gramEnd"/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فبعد بيع التركة بالمزاد العلني</w:t>
      </w:r>
      <w:r w:rsidR="00FA2C7B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'الدلالة)</w:t>
      </w:r>
      <w:r w:rsidR="00D50731" w:rsidRPr="00AD2B5E">
        <w:rPr>
          <w:rFonts w:ascii="Bahij Lotus" w:hAnsi="Bahij Lotus" w:cs="Bahij Lotus" w:hint="cs"/>
          <w:spacing w:val="2"/>
          <w:sz w:val="30"/>
          <w:szCs w:val="30"/>
          <w:rtl/>
        </w:rPr>
        <w:t>، تدوّن قيمتها في ثلاثة دفاتر و تودع في صندوق أمانات</w:t>
      </w:r>
      <w:r w:rsidR="00500977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حيث لا يستطيع أحد أن يتصرّف فيها إلاّ بإذن شرعي. </w:t>
      </w:r>
      <w:proofErr w:type="gramStart"/>
      <w:r w:rsidR="00500977" w:rsidRPr="00AD2B5E">
        <w:rPr>
          <w:rFonts w:ascii="Bahij Lotus" w:hAnsi="Bahij Lotus" w:cs="Bahij Lotus" w:hint="cs"/>
          <w:spacing w:val="2"/>
          <w:sz w:val="30"/>
          <w:szCs w:val="30"/>
          <w:rtl/>
        </w:rPr>
        <w:t>و إذا</w:t>
      </w:r>
      <w:proofErr w:type="gramEnd"/>
      <w:r w:rsidR="00500977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لم يترك</w:t>
      </w:r>
      <w:r w:rsidR="00A8218D" w:rsidRPr="00AD2B5E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الشخص المتوفّى وارثًا حاضرًا أو غائبًا، تحسم المصاريف المترتّبة عن دفنه و تدفع ديونه إن كانت عليه ديون، ثمّ تنفّذ وصيته إن لم تتجاوز المقدار الثلث الّذي ينصّ عليه الشرع، أمّا الثلثان الباقيان فيضمّان إلى صندوق بيت المال</w:t>
      </w:r>
      <w:r w:rsidR="006E5A82" w:rsidRPr="00AD2B5E">
        <w:rPr>
          <w:rFonts w:ascii="Bahij Lotus" w:hAnsi="Bahij Lotus" w:cs="Bahij Lotus" w:hint="cs"/>
          <w:spacing w:val="2"/>
          <w:sz w:val="30"/>
          <w:szCs w:val="30"/>
          <w:rtl/>
        </w:rPr>
        <w:t>.</w:t>
      </w:r>
    </w:p>
    <w:p w:rsidR="00EB5F2C" w:rsidRPr="00AD2B5E" w:rsidRDefault="00EB5F2C" w:rsidP="00AD2B5E">
      <w:pPr>
        <w:bidi/>
        <w:spacing w:after="120" w:line="276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</w:p>
    <w:p w:rsidR="006E5A82" w:rsidRPr="00AD2B5E" w:rsidRDefault="006E5A82" w:rsidP="00AD2B5E">
      <w:pPr>
        <w:bidi/>
        <w:spacing w:after="120" w:line="276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 w:rsidRPr="00AD2B5E">
        <w:rPr>
          <w:rFonts w:ascii="Bahij Lotus" w:hAnsi="Bahij Lotus" w:cs="Bahij Lotus" w:hint="cs"/>
          <w:b/>
          <w:bCs/>
          <w:sz w:val="30"/>
          <w:szCs w:val="30"/>
          <w:rtl/>
        </w:rPr>
        <w:t>دفاتر بيت المال</w:t>
      </w:r>
    </w:p>
    <w:p w:rsidR="006E5A82" w:rsidRPr="00AD2B5E" w:rsidRDefault="006E5A82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AD2B5E">
        <w:rPr>
          <w:rFonts w:ascii="Bahij Lotus" w:hAnsi="Bahij Lotus" w:cs="Bahij Lotus" w:hint="cs"/>
          <w:sz w:val="30"/>
          <w:szCs w:val="30"/>
          <w:rtl/>
        </w:rPr>
        <w:t xml:space="preserve">تمّ تصنيف سجلات التركات من طرف ألبير </w:t>
      </w:r>
      <w:proofErr w:type="spellStart"/>
      <w:r w:rsidRPr="00AD2B5E">
        <w:rPr>
          <w:rFonts w:ascii="Bahij Lotus" w:hAnsi="Bahij Lotus" w:cs="Bahij Lotus" w:hint="cs"/>
          <w:sz w:val="30"/>
          <w:szCs w:val="30"/>
          <w:rtl/>
        </w:rPr>
        <w:t>ﺩﻳﭭﻮ</w:t>
      </w:r>
      <w:proofErr w:type="spellEnd"/>
      <w:r w:rsidRPr="00AD2B5E">
        <w:rPr>
          <w:rFonts w:ascii="Bahij Lotus" w:hAnsi="Bahij Lotus" w:cs="Bahij Lotus" w:hint="cs"/>
          <w:sz w:val="30"/>
          <w:szCs w:val="30"/>
          <w:rtl/>
        </w:rPr>
        <w:t xml:space="preserve"> (</w:t>
      </w:r>
      <w:r w:rsidRPr="00AD2B5E">
        <w:rPr>
          <w:rFonts w:ascii="Bahij Lotus" w:hAnsi="Bahij Lotus" w:cs="Bahij Lotus"/>
          <w:sz w:val="30"/>
          <w:szCs w:val="30"/>
        </w:rPr>
        <w:t xml:space="preserve">Albert </w:t>
      </w:r>
      <w:proofErr w:type="spellStart"/>
      <w:r w:rsidRPr="00AD2B5E">
        <w:rPr>
          <w:rFonts w:ascii="Bahij Lotus" w:hAnsi="Bahij Lotus" w:cs="Bahij Lotus"/>
          <w:sz w:val="30"/>
          <w:szCs w:val="30"/>
        </w:rPr>
        <w:t>Devoulx</w:t>
      </w:r>
      <w:proofErr w:type="spellEnd"/>
      <w:r w:rsidRPr="00AD2B5E">
        <w:rPr>
          <w:rFonts w:ascii="Bahij Lotus" w:hAnsi="Bahij Lotus" w:cs="Bahij Lotus" w:hint="cs"/>
          <w:sz w:val="30"/>
          <w:szCs w:val="30"/>
          <w:rtl/>
        </w:rPr>
        <w:t xml:space="preserve">) محافظ </w:t>
      </w:r>
      <w:r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الوثائق العربية بمصلحة أملاك الدولة، فقد أعدّ فهرسًا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خاصًّا بالوثائق العثمانية بالجزائر 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في حدود </w:t>
      </w:r>
      <w:r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سنة 18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6</w:t>
      </w:r>
      <w:r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0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، </w:t>
      </w:r>
      <w:proofErr w:type="gramStart"/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و أفرد</w:t>
      </w:r>
      <w:proofErr w:type="gramEnd"/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هذه الدفاتر في سلسلة بيت المال الّتي تضمّنت 64 سجلاً.</w:t>
      </w:r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كما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قام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جان دونيه (</w:t>
      </w:r>
      <w:r w:rsidR="0095678A" w:rsidRPr="00AD2B5E">
        <w:rPr>
          <w:rFonts w:ascii="Bahij Lotus" w:hAnsi="Bahij Lotus" w:cs="Bahij Lotus"/>
          <w:sz w:val="30"/>
          <w:szCs w:val="30"/>
          <w:lang w:bidi="ar-DZ"/>
        </w:rPr>
        <w:t xml:space="preserve">Jean </w:t>
      </w:r>
      <w:proofErr w:type="spellStart"/>
      <w:r w:rsidR="0095678A" w:rsidRPr="00AD2B5E">
        <w:rPr>
          <w:rFonts w:ascii="Bahij Lotus" w:hAnsi="Bahij Lotus" w:cs="Bahij Lotus"/>
          <w:sz w:val="30"/>
          <w:szCs w:val="30"/>
          <w:lang w:bidi="ar-DZ"/>
        </w:rPr>
        <w:t>Deny</w:t>
      </w:r>
      <w:proofErr w:type="spellEnd"/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) </w:t>
      </w:r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ب</w:t>
      </w:r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ترقيمها، عندما قام بتصنيف الوثائق الجزائرية العائدة لفترة ما قبل الاحتلال في سنة </w:t>
      </w:r>
      <w:proofErr w:type="gramStart"/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1921 ؛</w:t>
      </w:r>
      <w:proofErr w:type="gramEnd"/>
      <w:r w:rsidR="0095678A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بيد أنّ الترقيم لم يحترم فيما بعد، إذ وزّعت في مرحلة لاحقة على 11 علبة دون مراعاة أي ترتيب منهجي.</w:t>
      </w:r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proofErr w:type="gramStart"/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>و قد</w:t>
      </w:r>
      <w:proofErr w:type="gramEnd"/>
      <w:r w:rsidR="00E55D71" w:rsidRPr="00AD2B5E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وضع لها القائمون على الأرشيف الجزائري حاليًا فهرسًا خاصًّا اعتمادًا على الوضع الّذي آلت إليه.</w:t>
      </w:r>
    </w:p>
    <w:p w:rsidR="003E0DD4" w:rsidRPr="00AD2B5E" w:rsidRDefault="00EB5F2C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3"/>
          <w:sz w:val="30"/>
          <w:szCs w:val="30"/>
          <w:rtl/>
          <w:lang w:bidi="ar-DZ"/>
        </w:rPr>
      </w:pPr>
      <w:r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الم</w:t>
      </w:r>
      <w:r w:rsidR="00E55D71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لفت للانتباه فيما يخصّ هذه الدفاتر أنّ ربعها فقط (حوالي 17 دفترًا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) </w:t>
      </w:r>
      <w:r w:rsidR="00E55D71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يعود للفترة العثمانية، 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حيث يعود أقدمها إلى سنة 1111</w:t>
      </w:r>
      <w:r w:rsidR="003E0DD4" w:rsidRPr="00AD2B5E">
        <w:rPr>
          <w:rFonts w:ascii="Bahij Lotus" w:hAnsi="Bahij Lotus" w:cs="Bahij Lotus"/>
          <w:spacing w:val="-3"/>
          <w:sz w:val="30"/>
          <w:szCs w:val="30"/>
          <w:rtl/>
          <w:lang w:bidi="ar-DZ"/>
        </w:rPr>
        <w:t>ﻫ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/1699</w:t>
      </w:r>
      <w:proofErr w:type="gramStart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م ؛</w:t>
      </w:r>
      <w:proofErr w:type="gramEnd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</w:t>
      </w:r>
      <w:r w:rsidR="00E55D71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أمّا البقية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،</w:t>
      </w:r>
      <w:r w:rsidR="00E55D71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ف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ت</w:t>
      </w:r>
      <w:r w:rsidR="00E55D71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غطّي العقود الأولى من الفترة الاستعمارية. </w:t>
      </w:r>
      <w:proofErr w:type="gramStart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و هي</w:t>
      </w:r>
      <w:proofErr w:type="gramEnd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في أغلبها تتعلّق بمدينة الجزائر و الجهات القريبة منها، و القليل منها يخصّ مدنًا جزائرية أخرى. </w:t>
      </w:r>
      <w:proofErr w:type="gramStart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و تتضمّن</w:t>
      </w:r>
      <w:proofErr w:type="gramEnd"/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</w:t>
      </w:r>
      <w:r w:rsidR="003E0DD4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دفاتر </w:t>
      </w:r>
      <w:r w:rsidR="00142C08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معلومات 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حول 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أملاك 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م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حبّس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ة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المشتركة مع مؤسسة الأوقاف مع تحديد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المؤسّسات الخيرية المشرفة عليها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و عوائدها</w:t>
      </w:r>
      <w:r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و نفقات صيانتها </w:t>
      </w:r>
      <w:r w:rsidR="00FA2C7B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تحت اعتماد بيت المال</w:t>
      </w:r>
      <w:r w:rsidR="00A474E3" w:rsidRPr="00AD2B5E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، كما تحتوي على تسجيلات لأمانات و ودائع بيت المال و قوائم بالأملاك العقارية، و أحكام خاصّة بالتركات و حصص بيت المال فيها.</w:t>
      </w:r>
    </w:p>
    <w:p w:rsidR="00A474E3" w:rsidRPr="00AD2B5E" w:rsidRDefault="00A474E3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A474E3" w:rsidRPr="00AD2B5E" w:rsidRDefault="00A474E3" w:rsidP="00AD2B5E">
      <w:pPr>
        <w:bidi/>
        <w:spacing w:after="120" w:line="276" w:lineRule="auto"/>
        <w:jc w:val="both"/>
        <w:rPr>
          <w:rFonts w:ascii="Bahij Lotus" w:hAnsi="Bahij Lotus" w:cs="Bahij Lotus"/>
          <w:b/>
          <w:bCs/>
          <w:sz w:val="30"/>
          <w:szCs w:val="30"/>
          <w:rtl/>
          <w:lang w:bidi="ar-DZ"/>
        </w:rPr>
      </w:pPr>
      <w:r w:rsidRPr="00AD2B5E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طبيعة الدفاتر</w:t>
      </w:r>
    </w:p>
    <w:p w:rsidR="00A474E3" w:rsidRPr="00AD2B5E" w:rsidRDefault="00A474E3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تتميّز تقييدات التركات بدقّة الضبط، حيث تحصى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فيها كلّ صغيرة </w:t>
      </w:r>
      <w:proofErr w:type="gramStart"/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 كبيرة</w:t>
      </w:r>
      <w:proofErr w:type="gramEnd"/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، و قد ي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تطلّب جردها 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أحيانًا بالنسبة للتركات الكبيرة 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أكثر من ورقة و 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تذييلها بتتمة. و من حيث صياغتها الشكلية، تبدأ الدفاتر بذكر اسم المتوفّى، و نسبه و مهنته إن وجدت، ثمّ ذكر مكان المتوفّى، فحالته الشخصية (متزوّجًا كان أم أعزب...)، و أخيرًا </w:t>
      </w:r>
      <w:proofErr w:type="gramStart"/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ورثته ؛</w:t>
      </w:r>
      <w:proofErr w:type="gramEnd"/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و </w:t>
      </w:r>
      <w:r w:rsidR="00F12D44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ذكر </w:t>
      </w:r>
      <w:r w:rsidR="00F12D44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السنة الهجرية و 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عادةً الشهر الّذي قيّد فيه المتروك دون أن يذكر اليوم، بل يحدّد بصيغة (أوائل </w:t>
      </w:r>
      <w:r w:rsidR="00735392" w:rsidRPr="00AD2B5E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–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أواسط </w:t>
      </w:r>
      <w:r w:rsidR="00735392" w:rsidRPr="00AD2B5E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–</w:t>
      </w:r>
      <w:r w:rsidR="0073539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أواخر)، </w:t>
      </w:r>
      <w:r w:rsidR="00F12D44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و يتلو ذلك حصر التركة و ما تحتويه من أغراض و حوائج مهما كان حجمها و ثمنها ؛ </w:t>
      </w:r>
      <w:r w:rsidR="00C25087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 بعد جمع المبالغ المحصّلة، يتمّ اقتطاع الديون إن وجدت من المبلغ الإجمالي، إلى جانب تكاليف الدفن و الصداق و كذلك ما يتبقى من نصيب بيت المال.</w:t>
      </w:r>
    </w:p>
    <w:p w:rsidR="00A958A6" w:rsidRPr="00AD2B5E" w:rsidRDefault="00C25087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proofErr w:type="gramStart"/>
      <w:r w:rsidRPr="00AD2B5E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 إنّه</w:t>
      </w:r>
      <w:proofErr w:type="gramEnd"/>
      <w:r w:rsidRPr="00AD2B5E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ليس من اليسير على الباحث فكّ جميع رموز هذا النوع من الوثائق، نظرًا لطبيعة الخطّ الّذي دوّنت به و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طرقة كتابة أرقامها</w:t>
      </w:r>
      <w:r w:rsidR="00A958A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و كذلك اللغة العربية الّتي كتبت بها تلك الدفاتر جاءت مشوبة في الكثير من الأحيان بألفاظ دارجة عفا عنها الزمن يصعب فهمها و تستلزم اللجوء إلى المعاجم القديمة المتخصّصة.</w:t>
      </w:r>
      <w:r w:rsidR="004269E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</w:t>
      </w:r>
      <w:r w:rsidR="00A958A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تتميّز الدفاتر أيضًا </w:t>
      </w:r>
      <w:r w:rsidR="00C00D72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بعدم ترتيبها للحوائج المتروكة من قبل الهالك، ممّا لا يتيح التعرّف على توزيع الأشياء في الغرف</w:t>
      </w:r>
      <w:r w:rsidR="004269E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</w:p>
    <w:p w:rsidR="004269E6" w:rsidRPr="00AD2B5E" w:rsidRDefault="004269E6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</w:p>
    <w:p w:rsidR="004269E6" w:rsidRPr="00AD2B5E" w:rsidRDefault="004269E6" w:rsidP="00AD2B5E">
      <w:pPr>
        <w:bidi/>
        <w:spacing w:after="120" w:line="276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  <w:r w:rsidRPr="00AD2B5E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أهمّية الدفاتر</w:t>
      </w:r>
    </w:p>
    <w:p w:rsidR="004269E6" w:rsidRPr="00AD2B5E" w:rsidRDefault="000C055E" w:rsidP="00AD2B5E">
      <w:pPr>
        <w:bidi/>
        <w:spacing w:after="120" w:line="276" w:lineRule="auto"/>
        <w:ind w:firstLine="284"/>
        <w:jc w:val="both"/>
        <w:rPr>
          <w:rFonts w:ascii="Bahij Lotus" w:hAnsi="Bahij Lotus" w:cs="Bahij Lotus"/>
          <w:spacing w:val="-2"/>
          <w:sz w:val="30"/>
          <w:szCs w:val="30"/>
          <w:lang w:bidi="ar-DZ"/>
        </w:rPr>
      </w:pP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لم يكن فرناند </w:t>
      </w:r>
      <w:proofErr w:type="spellStart"/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بروديل</w:t>
      </w:r>
      <w:proofErr w:type="spellEnd"/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(</w:t>
      </w:r>
      <w:r w:rsidRPr="00AD2B5E">
        <w:rPr>
          <w:rFonts w:ascii="Bahij Lotus" w:hAnsi="Bahij Lotus" w:cs="Bahij Lotus"/>
          <w:spacing w:val="-2"/>
          <w:sz w:val="30"/>
          <w:szCs w:val="30"/>
          <w:lang w:bidi="ar-DZ"/>
        </w:rPr>
        <w:t>Fernand Braudel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) ليصف دفاتر التركات بوثائق الحقيقة إن لم يطّلع </w:t>
      </w:r>
      <w:r w:rsidR="00EB5F2C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</w:t>
      </w:r>
      <w:r w:rsidR="00EB5F2C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ى 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ما تحتويه تلك الوثائق من معطيات بالغة الأهمّية يجعلها مصدرًا أساسيًا لا غنى عنه في دراسة حياة المجتمع اجتماعيًا </w:t>
      </w:r>
      <w:proofErr w:type="gramStart"/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 اقتصاديًا</w:t>
      </w:r>
      <w:proofErr w:type="gramEnd"/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من حيث أنواع </w:t>
      </w:r>
      <w:r w:rsidR="00893E1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المأكل و 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الألبسة و المقتنيات، مستويات الغنى و الفقر، التركيبة </w:t>
      </w:r>
      <w:r w:rsidRPr="00AD2B5E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السكّانية للمجتمع، طبيعة ثروات الأفراد و معاملاتهم المالية</w:t>
      </w:r>
      <w:r w:rsidR="00893E16" w:rsidRPr="00AD2B5E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(التجارية بالمقام الأوّل، إلى جانب الأكرية</w:t>
      </w:r>
      <w:r w:rsidR="00893E1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و الديون)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، تطوّر قيّم العملة و </w:t>
      </w:r>
      <w:r w:rsidR="00893E1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</w:t>
      </w:r>
      <w:r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أسعار</w:t>
      </w:r>
      <w:r w:rsidR="00893E16" w:rsidRPr="00AD2B5E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، إلخ.</w:t>
      </w:r>
      <w:bookmarkStart w:id="0" w:name="_GoBack"/>
      <w:bookmarkEnd w:id="0"/>
    </w:p>
    <w:sectPr w:rsidR="004269E6" w:rsidRPr="00AD2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B6"/>
    <w:rsid w:val="00016100"/>
    <w:rsid w:val="000C055E"/>
    <w:rsid w:val="000C1AC7"/>
    <w:rsid w:val="000D593B"/>
    <w:rsid w:val="00125174"/>
    <w:rsid w:val="00131306"/>
    <w:rsid w:val="00142C08"/>
    <w:rsid w:val="00261EC7"/>
    <w:rsid w:val="003E0DD4"/>
    <w:rsid w:val="003E2FFA"/>
    <w:rsid w:val="004269E6"/>
    <w:rsid w:val="00465AA1"/>
    <w:rsid w:val="00500977"/>
    <w:rsid w:val="00577B8D"/>
    <w:rsid w:val="006E5A82"/>
    <w:rsid w:val="0072012A"/>
    <w:rsid w:val="00735392"/>
    <w:rsid w:val="00741FB6"/>
    <w:rsid w:val="007450DE"/>
    <w:rsid w:val="00893E16"/>
    <w:rsid w:val="008A3DD9"/>
    <w:rsid w:val="0095678A"/>
    <w:rsid w:val="009C0D1A"/>
    <w:rsid w:val="009E10E3"/>
    <w:rsid w:val="00A474E3"/>
    <w:rsid w:val="00A8218D"/>
    <w:rsid w:val="00A958A6"/>
    <w:rsid w:val="00A95BA4"/>
    <w:rsid w:val="00AD2B5E"/>
    <w:rsid w:val="00B85D43"/>
    <w:rsid w:val="00BE60AD"/>
    <w:rsid w:val="00C00D72"/>
    <w:rsid w:val="00C25087"/>
    <w:rsid w:val="00D50731"/>
    <w:rsid w:val="00E55D71"/>
    <w:rsid w:val="00EA29C5"/>
    <w:rsid w:val="00EB5F2C"/>
    <w:rsid w:val="00F12D44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449C8-178E-46E0-A9F8-8D4DC2C0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2018-04-21T20:40:00Z</dcterms:created>
  <dcterms:modified xsi:type="dcterms:W3CDTF">2020-04-10T08:20:00Z</dcterms:modified>
</cp:coreProperties>
</file>