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7E" w:rsidRPr="00FA3D6A" w:rsidRDefault="00050D7E" w:rsidP="00050D7E">
      <w:pPr>
        <w:bidi/>
        <w:spacing w:after="0" w:line="240" w:lineRule="auto"/>
        <w:rPr>
          <w:rFonts w:ascii="Bahij Lotus" w:hAnsi="Bahij Lotus" w:cs="Bahij Lotus"/>
          <w:b/>
          <w:bCs/>
          <w:spacing w:val="1"/>
          <w:sz w:val="28"/>
          <w:szCs w:val="28"/>
          <w:rtl/>
        </w:rPr>
      </w:pPr>
      <w:r w:rsidRPr="00FA3D6A">
        <w:rPr>
          <w:rFonts w:ascii="Bahij Lotus" w:hAnsi="Bahij Lotus" w:cs="Bahij Lotus" w:hint="cs"/>
          <w:b/>
          <w:bCs/>
          <w:spacing w:val="1"/>
          <w:sz w:val="28"/>
          <w:szCs w:val="28"/>
          <w:rtl/>
        </w:rPr>
        <w:t>مصادر تاريخ الجزائر الحديث</w:t>
      </w:r>
    </w:p>
    <w:p w:rsidR="00050D7E" w:rsidRPr="00FA3D6A" w:rsidRDefault="00050D7E" w:rsidP="00050D7E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1"/>
          <w:sz w:val="12"/>
          <w:szCs w:val="12"/>
          <w:rtl/>
        </w:rPr>
      </w:pPr>
    </w:p>
    <w:p w:rsidR="00050D7E" w:rsidRPr="00FA3D6A" w:rsidRDefault="00050D7E" w:rsidP="00050D7E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color w:val="262626" w:themeColor="text1" w:themeTint="D9"/>
          <w:spacing w:val="2"/>
          <w:sz w:val="38"/>
          <w:szCs w:val="38"/>
          <w:rtl/>
        </w:rPr>
      </w:pPr>
      <w:r w:rsidRPr="00FA3D6A">
        <w:rPr>
          <w:rFonts w:ascii="Bahij Lotus" w:hAnsi="Bahij Lotus" w:cs="Bahij Lotus" w:hint="cs"/>
          <w:b/>
          <w:bCs/>
          <w:spacing w:val="2"/>
          <w:sz w:val="38"/>
          <w:szCs w:val="38"/>
          <w:rtl/>
        </w:rPr>
        <w:t>تصنيفات المصادر التاريخية</w:t>
      </w:r>
    </w:p>
    <w:p w:rsidR="00050D7E" w:rsidRDefault="00050D7E" w:rsidP="00050D7E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050D7E" w:rsidRDefault="00050D7E" w:rsidP="00050D7E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050D7E" w:rsidRDefault="00050D7E" w:rsidP="00050D7E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050D7E" w:rsidRPr="009D5C92" w:rsidRDefault="00050D7E" w:rsidP="00050D7E">
      <w:pPr>
        <w:bidi/>
        <w:spacing w:after="120" w:line="240" w:lineRule="auto"/>
        <w:ind w:firstLine="425"/>
        <w:jc w:val="both"/>
        <w:rPr>
          <w:rFonts w:ascii="Bahij Lotus" w:hAnsi="Bahij Lotus" w:cs="Bahij Lotus"/>
          <w:spacing w:val="1"/>
          <w:sz w:val="30"/>
          <w:szCs w:val="30"/>
          <w:rtl/>
        </w:rPr>
      </w:pP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يعتبر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الوصول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إلى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المصادر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الأو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ّ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لية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من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الأهداف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حاسم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للباحث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،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حت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ّ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ى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عندما تكون لديه وفرة من المصادر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الثانوية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لبحثه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التاريخي ؛ على أنّ هذا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الأمر يتطلّب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مهارة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في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التمييز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بين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أصناف المصادر،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حيث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يشير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>
        <w:rPr>
          <w:rFonts w:ascii="Bahij Lotus" w:hAnsi="Bahij Lotus" w:cs="Bahij Lotus"/>
          <w:spacing w:val="1"/>
          <w:sz w:val="30"/>
          <w:szCs w:val="30"/>
          <w:rtl/>
        </w:rPr>
        <w:t>ﭬ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ﺎ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دالين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إلى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صعوبة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الفصل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أحيان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ً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بين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المصادر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الأو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ّ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لية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و المصادر الثانوية، و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لا سيّما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في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حالة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تضمّن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المصدر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الواحد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 xml:space="preserve">على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معلومات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أو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ّ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لية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و ثانوية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في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نفس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 xml:space="preserve">الوقت (أنظر في هذا الصدد الجدول الوارد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أدناه) ؛ و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ذلك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إلى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جانب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الصعوبة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ال</w:t>
      </w:r>
      <w:r>
        <w:rPr>
          <w:rFonts w:ascii="Bahij Lotus" w:hAnsi="Bahij Lotus" w:cs="Bahij Lotus" w:hint="cs"/>
          <w:spacing w:val="2"/>
          <w:sz w:val="30"/>
          <w:szCs w:val="30"/>
          <w:rtl/>
        </w:rPr>
        <w:t>ّ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تي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يواجهها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الباحث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في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الكشف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عن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حوادث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و وقائع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لم</w:t>
      </w:r>
      <w:r w:rsidRPr="00EF5109">
        <w:rPr>
          <w:rFonts w:ascii="Bahij Lotus" w:hAnsi="Bahij Lotus" w:cs="Bahij Lotus"/>
          <w:spacing w:val="2"/>
          <w:sz w:val="30"/>
          <w:szCs w:val="30"/>
          <w:rtl/>
        </w:rPr>
        <w:t xml:space="preserve"> </w:t>
      </w:r>
      <w:r w:rsidRPr="00EF5109">
        <w:rPr>
          <w:rFonts w:ascii="Bahij Lotus" w:hAnsi="Bahij Lotus" w:cs="Bahij Lotus" w:hint="cs"/>
          <w:spacing w:val="2"/>
          <w:sz w:val="30"/>
          <w:szCs w:val="30"/>
          <w:rtl/>
        </w:rPr>
        <w:t>يعاصرها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صاحب المصدر أو لم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ي</w:t>
      </w:r>
      <w:r>
        <w:rPr>
          <w:rFonts w:ascii="Bahij Lotus" w:hAnsi="Bahij Lotus" w:cs="Bahij Lotus" w:hint="cs"/>
          <w:spacing w:val="1"/>
          <w:sz w:val="30"/>
          <w:szCs w:val="30"/>
          <w:rtl/>
        </w:rPr>
        <w:t>ُ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خضعها</w:t>
      </w:r>
      <w:r w:rsidRPr="009D5C92">
        <w:rPr>
          <w:rFonts w:ascii="Bahij Lotus" w:hAnsi="Bahij Lotus" w:cs="Bahij Lotus"/>
          <w:spacing w:val="1"/>
          <w:sz w:val="30"/>
          <w:szCs w:val="30"/>
          <w:rtl/>
        </w:rPr>
        <w:t xml:space="preserve"> 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>للتدقيق و التمحيص</w:t>
      </w:r>
      <w:r w:rsidRPr="009D5C92">
        <w:rPr>
          <w:rFonts w:ascii="Bahij Lotus" w:hAnsi="Bahij Lotus" w:cs="Bahij Lotus"/>
          <w:spacing w:val="1"/>
          <w:sz w:val="30"/>
          <w:szCs w:val="30"/>
        </w:rPr>
        <w:t>.</w:t>
      </w:r>
      <w:r w:rsidRPr="009D5C92">
        <w:rPr>
          <w:rFonts w:ascii="Bahij Lotus" w:hAnsi="Bahij Lotus" w:cs="Bahij Lotus" w:hint="cs"/>
          <w:spacing w:val="1"/>
          <w:sz w:val="30"/>
          <w:szCs w:val="30"/>
          <w:rtl/>
        </w:rPr>
        <w:t xml:space="preserve"> </w:t>
      </w:r>
    </w:p>
    <w:p w:rsidR="00050D7E" w:rsidRPr="000C46B5" w:rsidRDefault="00050D7E" w:rsidP="00050D7E">
      <w:pPr>
        <w:bidi/>
        <w:spacing w:after="120" w:line="240" w:lineRule="auto"/>
        <w:jc w:val="both"/>
        <w:rPr>
          <w:rFonts w:ascii="Bahij Lotus" w:hAnsi="Bahij Lotus" w:cs="Bahij Lotus"/>
          <w:sz w:val="16"/>
          <w:szCs w:val="16"/>
          <w:rtl/>
        </w:rPr>
      </w:pPr>
    </w:p>
    <w:p w:rsidR="00050D7E" w:rsidRPr="009D5C92" w:rsidRDefault="00050D7E" w:rsidP="00050D7E">
      <w:pPr>
        <w:bidi/>
        <w:spacing w:after="120" w:line="240" w:lineRule="auto"/>
        <w:jc w:val="both"/>
        <w:rPr>
          <w:rFonts w:ascii="Bahij Lotus" w:hAnsi="Bahij Lotus" w:cs="Bahij Lotus"/>
          <w:b/>
          <w:bCs/>
          <w:sz w:val="30"/>
          <w:szCs w:val="30"/>
        </w:rPr>
      </w:pPr>
      <w:r>
        <w:rPr>
          <w:rFonts w:ascii="Bahij Lotus" w:hAnsi="Bahij Lotus" w:cs="Bahij Lotus" w:hint="cs"/>
          <w:b/>
          <w:bCs/>
          <w:spacing w:val="1"/>
          <w:sz w:val="30"/>
          <w:szCs w:val="30"/>
          <w:rtl/>
        </w:rPr>
        <w:t xml:space="preserve">جدول </w:t>
      </w:r>
      <w:r w:rsidRPr="009D5C92">
        <w:rPr>
          <w:rFonts w:ascii="Bahij Lotus" w:hAnsi="Bahij Lotus" w:cs="Bahij Lotus" w:hint="cs"/>
          <w:b/>
          <w:bCs/>
          <w:spacing w:val="1"/>
          <w:sz w:val="30"/>
          <w:szCs w:val="30"/>
          <w:rtl/>
        </w:rPr>
        <w:t>تصنيفات المصادر التاريخية :</w:t>
      </w:r>
    </w:p>
    <w:tbl>
      <w:tblPr>
        <w:tblStyle w:val="Grilledutableau"/>
        <w:bidiVisual/>
        <w:tblW w:w="10064" w:type="dxa"/>
        <w:tblInd w:w="-577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3543"/>
        <w:gridCol w:w="2947"/>
        <w:gridCol w:w="3574"/>
      </w:tblGrid>
      <w:tr w:rsidR="00050D7E" w:rsidRPr="00B87775" w:rsidTr="006A5849">
        <w:tc>
          <w:tcPr>
            <w:tcW w:w="3543" w:type="dxa"/>
          </w:tcPr>
          <w:p w:rsidR="00050D7E" w:rsidRPr="009D5C92" w:rsidRDefault="00050D7E" w:rsidP="006A5849">
            <w:pPr>
              <w:bidi/>
              <w:spacing w:after="0" w:line="240" w:lineRule="auto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</w:pPr>
            <w:r w:rsidRPr="009D5C92"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  <w:t>المصادر الأوّلية</w:t>
            </w:r>
          </w:p>
        </w:tc>
        <w:tc>
          <w:tcPr>
            <w:tcW w:w="2947" w:type="dxa"/>
          </w:tcPr>
          <w:p w:rsidR="00050D7E" w:rsidRPr="009D5C92" w:rsidRDefault="00050D7E" w:rsidP="006A5849">
            <w:pPr>
              <w:bidi/>
              <w:spacing w:after="0" w:line="240" w:lineRule="auto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  <w:lang w:bidi="ar-DZ"/>
              </w:rPr>
            </w:pPr>
            <w:r w:rsidRPr="009D5C92">
              <w:rPr>
                <w:rFonts w:ascii="Bahij Lotus" w:hAnsi="Bahij Lotus" w:cs="Bahij Lotus" w:hint="cs"/>
                <w:b/>
                <w:bCs/>
                <w:sz w:val="26"/>
                <w:szCs w:val="26"/>
                <w:rtl/>
                <w:lang w:bidi="ar-DZ"/>
              </w:rPr>
              <w:t>المصادر المتأخّرة</w:t>
            </w:r>
          </w:p>
        </w:tc>
        <w:tc>
          <w:tcPr>
            <w:tcW w:w="3574" w:type="dxa"/>
          </w:tcPr>
          <w:p w:rsidR="00050D7E" w:rsidRPr="009D5C92" w:rsidRDefault="00050D7E" w:rsidP="006A5849">
            <w:pPr>
              <w:bidi/>
              <w:spacing w:after="0" w:line="240" w:lineRule="auto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</w:pPr>
            <w:r w:rsidRPr="009D5C92"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  <w:t>المصادر الثانوية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مزامنة للحدث أو قريبة منه</w:t>
            </w:r>
          </w:p>
        </w:tc>
        <w:tc>
          <w:tcPr>
            <w:tcW w:w="2947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  <w:lang w:bidi="ar-DZ"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  <w:lang w:bidi="ar-DZ"/>
              </w:rPr>
              <w:t>أقدم المعلومات بعيدة عن الحدث و أحدثها قريبة أو مزامنة له</w:t>
            </w:r>
          </w:p>
        </w:tc>
        <w:tc>
          <w:tcPr>
            <w:tcW w:w="3574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غير مزامنة للحدث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4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4"/>
                <w:sz w:val="26"/>
                <w:szCs w:val="26"/>
                <w:rtl/>
              </w:rPr>
              <w:t>تضمّ غالبًا معلومات أصلية و غير مسبوقة</w:t>
            </w:r>
          </w:p>
        </w:tc>
        <w:tc>
          <w:tcPr>
            <w:tcW w:w="2947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مخضرمة بشكل متفاوت</w:t>
            </w:r>
          </w:p>
        </w:tc>
        <w:tc>
          <w:tcPr>
            <w:tcW w:w="3574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تضمّ معلومات مؤلّفة و معروفة (مستقاة من</w:t>
            </w: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 xml:space="preserve"> مصادر سابقة)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4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4"/>
                <w:sz w:val="26"/>
                <w:szCs w:val="26"/>
                <w:rtl/>
              </w:rPr>
              <w:t>محتوى يفتقر عادةً إلى الترابط أو التنسيق</w:t>
            </w:r>
          </w:p>
        </w:tc>
        <w:tc>
          <w:tcPr>
            <w:tcW w:w="2947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-4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محتوى متدرّج</w:t>
            </w:r>
          </w:p>
        </w:tc>
        <w:tc>
          <w:tcPr>
            <w:tcW w:w="3574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-4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محتوى منظّم و مبوّب (جمع وفقًا لخطّة معيّنة) في جميع الأحوال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معلومات "خامّ" لم تخضع للنقد و التحليل</w:t>
            </w:r>
          </w:p>
        </w:tc>
        <w:tc>
          <w:tcPr>
            <w:tcW w:w="2947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مخضرمة</w:t>
            </w:r>
          </w:p>
        </w:tc>
        <w:tc>
          <w:tcPr>
            <w:tcW w:w="3574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"مكرّرة" تمّ تمحيصها قبل تحليلها و التعليق عليها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pacing w:val="-3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pacing w:val="-3"/>
                <w:sz w:val="26"/>
                <w:szCs w:val="26"/>
                <w:rtl/>
              </w:rPr>
              <w:t>المؤلّف شاهد عيان (شارك في الحدث سلبًا أو ايجابًا) أو نقل عن شخص عايش الحدث أو تلقاه بالرواية من مصدر موثوق</w:t>
            </w:r>
          </w:p>
        </w:tc>
        <w:tc>
          <w:tcPr>
            <w:tcW w:w="2947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المؤلِّف مصدر إلاّ بقدر قربه النسبي من زمن وقوع الحدث</w:t>
            </w:r>
          </w:p>
        </w:tc>
        <w:tc>
          <w:tcPr>
            <w:tcW w:w="3574" w:type="dxa"/>
          </w:tcPr>
          <w:p w:rsidR="00050D7E" w:rsidRPr="00B87775" w:rsidRDefault="00050D7E" w:rsidP="006A5849">
            <w:pPr>
              <w:bidi/>
              <w:spacing w:after="0" w:line="240" w:lineRule="auto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المؤلّ</w:t>
            </w:r>
            <w:r w:rsidRPr="00B878AF"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ف جامع لما احتوته مصادر أوّلية و ثانوية</w:t>
            </w: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 xml:space="preserve"> أخرى من شواهد و معلومات</w:t>
            </w:r>
          </w:p>
        </w:tc>
      </w:tr>
    </w:tbl>
    <w:p w:rsidR="00050D7E" w:rsidRPr="000C46B5" w:rsidRDefault="00050D7E" w:rsidP="00050D7E">
      <w:pPr>
        <w:bidi/>
        <w:spacing w:after="0" w:line="240" w:lineRule="auto"/>
        <w:ind w:firstLine="425"/>
        <w:jc w:val="both"/>
        <w:rPr>
          <w:rFonts w:ascii="Bahij Lotus" w:hAnsi="Bahij Lotus" w:cs="Bahij Lotus"/>
          <w:sz w:val="16"/>
          <w:szCs w:val="16"/>
          <w:rtl/>
        </w:rPr>
      </w:pPr>
    </w:p>
    <w:p w:rsidR="00260264" w:rsidRPr="00050D7E" w:rsidRDefault="00050D7E" w:rsidP="00050D7E">
      <w:pPr>
        <w:shd w:val="clear" w:color="auto" w:fill="FFFFFF"/>
        <w:bidi/>
        <w:spacing w:before="60" w:after="0" w:line="240" w:lineRule="auto"/>
        <w:ind w:firstLine="425"/>
        <w:jc w:val="both"/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تجدر الإشارة إلى أنّ تقسيم المصادر بشكل عامّ إلى الثلاثة أصناف المذكورة آنفًا لا يصحّ </w:t>
      </w:r>
      <w:proofErr w:type="spellStart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ببليوغرافيًا</w:t>
      </w:r>
      <w:proofErr w:type="spellEnd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proofErr w:type="gramStart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- أي</w:t>
      </w:r>
      <w:proofErr w:type="gramEnd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حين إعداد قائمة المصادر و المراجع في إطار إعداد مذكّرة أو رسالة - ؛ و الجدوى منه هي إدراك كيفية التعامل مع كلّ صنف من المصادر نقدًا و تحليلاً.</w:t>
      </w:r>
      <w:bookmarkStart w:id="0" w:name="_GoBack"/>
      <w:bookmarkEnd w:id="0"/>
    </w:p>
    <w:sectPr w:rsidR="00260264" w:rsidRPr="0005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7E"/>
    <w:rsid w:val="00050D7E"/>
    <w:rsid w:val="002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F89C-61DF-44B6-A23D-B6F6B85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7E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2021-03-08T21:57:00Z</dcterms:created>
  <dcterms:modified xsi:type="dcterms:W3CDTF">2021-03-08T21:58:00Z</dcterms:modified>
</cp:coreProperties>
</file>