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B6" w:rsidRPr="00B75B4E" w:rsidRDefault="00CE30B6" w:rsidP="00CE30B6">
      <w:pPr>
        <w:rPr>
          <w:rFonts w:asciiTheme="majorHAnsi" w:hAnsiTheme="majorHAnsi"/>
        </w:rPr>
      </w:pPr>
    </w:p>
    <w:p w:rsidR="00CE30B6" w:rsidRPr="00B75B4E" w:rsidRDefault="00CE30B6" w:rsidP="00CE30B6">
      <w:pPr>
        <w:rPr>
          <w:rFonts w:asciiTheme="majorHAnsi" w:hAnsiTheme="majorHAnsi"/>
        </w:rPr>
      </w:pPr>
    </w:p>
    <w:p w:rsidR="00CE30B6" w:rsidRPr="00B75B4E" w:rsidRDefault="00CE30B6" w:rsidP="00CE30B6">
      <w:pPr>
        <w:rPr>
          <w:rFonts w:asciiTheme="majorHAnsi" w:hAnsiTheme="majorHAnsi"/>
        </w:rPr>
      </w:pPr>
    </w:p>
    <w:p w:rsidR="00CE30B6" w:rsidRPr="00B75B4E" w:rsidRDefault="00CE30B6" w:rsidP="00CE30B6">
      <w:pPr>
        <w:rPr>
          <w:rFonts w:asciiTheme="majorHAnsi" w:hAnsiTheme="majorHAnsi"/>
        </w:rPr>
      </w:pPr>
    </w:p>
    <w:p w:rsidR="00CE30B6" w:rsidRPr="00B75B4E" w:rsidRDefault="00CE30B6" w:rsidP="00CE30B6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</w:rPr>
      </w:pPr>
      <w:r w:rsidRPr="00B75B4E">
        <w:rPr>
          <w:rFonts w:asciiTheme="majorHAnsi" w:hAnsiTheme="majorHAnsi" w:cs="Calibri"/>
          <w:b/>
        </w:rPr>
        <w:t xml:space="preserve">Semestre: 3 </w:t>
      </w:r>
    </w:p>
    <w:p w:rsidR="00CE30B6" w:rsidRPr="00B75B4E" w:rsidRDefault="00CE30B6" w:rsidP="00CE30B6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B75B4E">
        <w:rPr>
          <w:rFonts w:asciiTheme="majorHAnsi" w:hAnsiTheme="majorHAnsi" w:cs="Calibri"/>
          <w:b/>
          <w:bCs/>
          <w:iCs/>
        </w:rPr>
        <w:t>Unité d’enseignement: UEM 2.1</w:t>
      </w:r>
    </w:p>
    <w:p w:rsidR="00CE30B6" w:rsidRPr="00B75B4E" w:rsidRDefault="00CE30B6" w:rsidP="00CE30B6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  <w:color w:val="000000"/>
          <w:lang w:eastAsia="en-US"/>
        </w:rPr>
      </w:pPr>
      <w:r w:rsidRPr="00B75B4E">
        <w:rPr>
          <w:rFonts w:asciiTheme="majorHAnsi" w:hAnsiTheme="majorHAnsi" w:cs="Calibri"/>
          <w:b/>
          <w:bCs/>
          <w:iCs/>
        </w:rPr>
        <w:t>Matière 3: Optimisation et Modélisation des procédés</w:t>
      </w:r>
    </w:p>
    <w:p w:rsidR="00CE30B6" w:rsidRPr="00B75B4E" w:rsidRDefault="00CE30B6" w:rsidP="00CE30B6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B75B4E">
        <w:rPr>
          <w:rFonts w:asciiTheme="majorHAnsi" w:eastAsia="Calibri" w:hAnsiTheme="majorHAnsi" w:cs="Arial"/>
          <w:b/>
          <w:bCs/>
          <w:color w:val="000000"/>
          <w:lang w:eastAsia="en-US"/>
        </w:rPr>
        <w:t>VHS: 45h00 (Cours:1h30, TD: 1h30)</w:t>
      </w:r>
    </w:p>
    <w:p w:rsidR="00CE30B6" w:rsidRPr="00B75B4E" w:rsidRDefault="00CE30B6" w:rsidP="00CE30B6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B75B4E">
        <w:rPr>
          <w:rFonts w:asciiTheme="majorHAnsi" w:hAnsiTheme="majorHAnsi" w:cs="Calibri"/>
          <w:b/>
          <w:bCs/>
          <w:iCs/>
        </w:rPr>
        <w:t>Crédits: 4</w:t>
      </w:r>
    </w:p>
    <w:p w:rsidR="00CE30B6" w:rsidRPr="00B75B4E" w:rsidRDefault="00CE30B6" w:rsidP="00CE30B6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B75B4E">
        <w:rPr>
          <w:rFonts w:asciiTheme="majorHAnsi" w:hAnsiTheme="majorHAnsi" w:cs="Calibri"/>
          <w:b/>
          <w:bCs/>
          <w:iCs/>
        </w:rPr>
        <w:t>Coefficient : 2</w:t>
      </w:r>
    </w:p>
    <w:p w:rsidR="00CE30B6" w:rsidRPr="00B75B4E" w:rsidRDefault="00CE30B6" w:rsidP="00CE30B6">
      <w:pPr>
        <w:spacing w:line="276" w:lineRule="auto"/>
        <w:jc w:val="both"/>
        <w:rPr>
          <w:rFonts w:asciiTheme="majorHAnsi" w:hAnsiTheme="majorHAnsi" w:cs="Calibri"/>
          <w:i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CE30B6" w:rsidRPr="00B75B4E" w:rsidRDefault="00CE30B6" w:rsidP="00CE30B6">
      <w:pPr>
        <w:jc w:val="both"/>
        <w:rPr>
          <w:rFonts w:asciiTheme="majorHAnsi" w:hAnsiTheme="majorHAnsi" w:cs="Arial"/>
          <w:sz w:val="22"/>
          <w:szCs w:val="22"/>
        </w:rPr>
      </w:pPr>
      <w:r w:rsidRPr="00B75B4E">
        <w:rPr>
          <w:rFonts w:asciiTheme="majorHAnsi" w:hAnsiTheme="majorHAnsi" w:cs="Arial"/>
          <w:sz w:val="22"/>
          <w:szCs w:val="22"/>
        </w:rPr>
        <w:t>L'objectif de ce cours est de permettre aux étudiants de maîtriser les connaissances essentielles à l’optimisation, la modélisation et la simulation des procédés continus et de se familiariser avec l’utilisation de logiciels de simulation.</w:t>
      </w:r>
    </w:p>
    <w:p w:rsidR="00CE30B6" w:rsidRPr="00B75B4E" w:rsidRDefault="00CE30B6" w:rsidP="00CE30B6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CE30B6" w:rsidRPr="00B75B4E" w:rsidRDefault="00CE30B6" w:rsidP="00CE30B6">
      <w:pPr>
        <w:spacing w:line="276" w:lineRule="auto"/>
        <w:jc w:val="both"/>
        <w:rPr>
          <w:rFonts w:asciiTheme="majorHAnsi" w:hAnsiTheme="majorHAnsi" w:cs="Calibri"/>
          <w:i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CE30B6" w:rsidRPr="00B75B4E" w:rsidRDefault="00CE30B6" w:rsidP="00CE30B6">
      <w:p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sz w:val="22"/>
          <w:szCs w:val="22"/>
        </w:rPr>
      </w:pPr>
      <w:r w:rsidRPr="00B75B4E">
        <w:rPr>
          <w:rFonts w:asciiTheme="majorHAnsi" w:eastAsiaTheme="minorHAnsi" w:hAnsiTheme="majorHAnsi" w:cs="Arial"/>
          <w:i/>
          <w:iCs/>
          <w:sz w:val="22"/>
          <w:szCs w:val="22"/>
          <w:lang w:eastAsia="en-US"/>
        </w:rPr>
        <w:t>Equations régissant les Phénomènes de Transfert en Génie des Procédés en mode stationnaire, les bases de thermodynamique et cinétique.</w:t>
      </w:r>
    </w:p>
    <w:p w:rsidR="00CE30B6" w:rsidRDefault="00CE30B6" w:rsidP="00CE30B6">
      <w:pPr>
        <w:jc w:val="both"/>
        <w:rPr>
          <w:rFonts w:asciiTheme="majorHAnsi" w:hAnsiTheme="majorHAnsi" w:cs="Calibri"/>
          <w:b/>
          <w:u w:val="thick" w:color="F79646"/>
        </w:rPr>
      </w:pPr>
    </w:p>
    <w:p w:rsidR="00CE30B6" w:rsidRPr="00B75B4E" w:rsidRDefault="00CE30B6" w:rsidP="00CE30B6">
      <w:pPr>
        <w:jc w:val="both"/>
        <w:rPr>
          <w:rFonts w:asciiTheme="majorHAnsi" w:hAnsiTheme="majorHAnsi" w:cs="Calibri"/>
          <w:b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Contenu de la matière: 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-BoldItalic"/>
          <w:b/>
          <w:bCs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-BoldItalic"/>
          <w:b/>
          <w:bCs/>
          <w:sz w:val="22"/>
          <w:szCs w:val="22"/>
          <w:lang w:eastAsia="en-US"/>
        </w:rPr>
        <w:t>Chapitre I : Modélisation et simulation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-BoldItalic"/>
          <w:b/>
          <w:bCs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I.1.  Introduction à la modélisation des phénomènes physiques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 xml:space="preserve">I.2. </w:t>
      </w:r>
      <w:r w:rsidR="004D11E6">
        <w:rPr>
          <w:rFonts w:asciiTheme="majorHAnsi" w:eastAsiaTheme="minorHAnsi" w:hAnsiTheme="majorHAnsi" w:cs="TrebuchetMS" w:hint="cs"/>
          <w:sz w:val="22"/>
          <w:szCs w:val="22"/>
          <w:rtl/>
          <w:lang w:eastAsia="en-US"/>
        </w:rPr>
        <w:t xml:space="preserve"> </w:t>
      </w: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Méthodes de résolution des systèmes d’équations algébriques.</w:t>
      </w:r>
    </w:p>
    <w:p w:rsidR="00CE30B6" w:rsidRPr="009949E1" w:rsidRDefault="00CE30B6" w:rsidP="004D11E6">
      <w:pPr>
        <w:autoSpaceDE w:val="0"/>
        <w:autoSpaceDN w:val="0"/>
        <w:adjustRightInd w:val="0"/>
        <w:spacing w:line="276" w:lineRule="auto"/>
        <w:ind w:firstLine="708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-  Résolution des équations d’état RK et RKS en utilisant Excel et un autre logiciel  pour un gaz pur et un mélange de gaz</w:t>
      </w:r>
    </w:p>
    <w:p w:rsidR="00CE30B6" w:rsidRPr="009949E1" w:rsidRDefault="00CE30B6" w:rsidP="004D11E6">
      <w:pPr>
        <w:autoSpaceDE w:val="0"/>
        <w:autoSpaceDN w:val="0"/>
        <w:adjustRightInd w:val="0"/>
        <w:spacing w:line="276" w:lineRule="auto"/>
        <w:ind w:firstLine="708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-  Calcul d’équilibre L-V et séparation flash isotherme en utilisant Excel ou autres logiciels.</w:t>
      </w:r>
    </w:p>
    <w:p w:rsidR="00CE30B6" w:rsidRDefault="00CE30B6" w:rsidP="004D11E6">
      <w:pPr>
        <w:autoSpaceDE w:val="0"/>
        <w:autoSpaceDN w:val="0"/>
        <w:adjustRightInd w:val="0"/>
        <w:spacing w:line="276" w:lineRule="auto"/>
        <w:ind w:firstLine="708"/>
        <w:rPr>
          <w:rFonts w:asciiTheme="majorHAnsi" w:eastAsiaTheme="minorHAnsi" w:hAnsiTheme="majorHAnsi" w:cs="TrebuchetMS" w:hint="cs"/>
          <w:sz w:val="22"/>
          <w:szCs w:val="22"/>
          <w:rtl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 xml:space="preserve">- </w:t>
      </w:r>
      <w:r>
        <w:rPr>
          <w:rFonts w:asciiTheme="majorHAnsi" w:eastAsiaTheme="minorHAnsi" w:hAnsiTheme="majorHAnsi" w:cs="TrebuchetMS" w:hint="cs"/>
          <w:sz w:val="22"/>
          <w:szCs w:val="22"/>
          <w:rtl/>
          <w:lang w:eastAsia="en-US"/>
        </w:rPr>
        <w:t xml:space="preserve"> </w:t>
      </w: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Calcul des compositions à l’équilibre d’une réaction en utilisant Excel ou autres logiciels.</w:t>
      </w:r>
    </w:p>
    <w:p w:rsidR="004D11E6" w:rsidRPr="009949E1" w:rsidRDefault="004D11E6" w:rsidP="004D11E6">
      <w:pPr>
        <w:autoSpaceDE w:val="0"/>
        <w:autoSpaceDN w:val="0"/>
        <w:adjustRightInd w:val="0"/>
        <w:spacing w:line="276" w:lineRule="auto"/>
        <w:ind w:firstLine="708"/>
        <w:rPr>
          <w:rFonts w:asciiTheme="majorHAnsi" w:eastAsiaTheme="minorHAnsi" w:hAnsiTheme="majorHAnsi" w:cs="TrebuchetMS"/>
          <w:sz w:val="22"/>
          <w:szCs w:val="22"/>
          <w:lang w:eastAsia="en-US"/>
        </w:rPr>
      </w:pP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I.3. Méthodes de résolution des systèmes d’équations différentielles.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ab/>
        <w:t>-  Calcul des réacteurs continus parfaitement agitées en utilisant Excel ou autres logiciels.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ind w:firstLine="708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>
        <w:rPr>
          <w:rFonts w:asciiTheme="majorHAnsi" w:eastAsiaTheme="minorHAnsi" w:hAnsiTheme="majorHAnsi" w:cs="TrebuchetMS" w:hint="cs"/>
          <w:sz w:val="22"/>
          <w:szCs w:val="22"/>
          <w:rtl/>
          <w:lang w:eastAsia="en-US"/>
        </w:rPr>
        <w:t xml:space="preserve"> -</w:t>
      </w: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 xml:space="preserve"> Calcul d’un réacteur tubulaire isotherme avec  logiciel.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-BoldItalic"/>
          <w:b/>
          <w:bCs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-BoldItalic"/>
          <w:b/>
          <w:bCs/>
          <w:sz w:val="22"/>
          <w:szCs w:val="22"/>
          <w:lang w:eastAsia="en-US"/>
        </w:rPr>
        <w:t>Chapitre II : Optimisation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II.1. Problèmes d’optimisation en génie des procédés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II.2. Recherche directe monodimensionnelle et multidimensionnelle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II.3. Approche mathématique de l’optimisation sans contrainte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I.4. Problèmes avec contraintes égalités et avec contraintes inégalités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 xml:space="preserve">I.6. Résolution des problèmes d’optimisation avec contraintes en utilisant   Excel® 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>I.7. Programmation linéaire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ab/>
        <w:t>- Méthode graphique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sz w:val="22"/>
          <w:szCs w:val="22"/>
          <w:lang w:eastAsia="en-US"/>
        </w:rPr>
      </w:pPr>
      <w:r w:rsidRPr="009949E1">
        <w:rPr>
          <w:rFonts w:asciiTheme="majorHAnsi" w:eastAsiaTheme="minorHAnsi" w:hAnsiTheme="majorHAnsi" w:cs="TrebuchetMS"/>
          <w:sz w:val="22"/>
          <w:szCs w:val="22"/>
          <w:lang w:eastAsia="en-US"/>
        </w:rPr>
        <w:tab/>
        <w:t>- Méthodes simplexe (avec et sans solution de base)</w:t>
      </w:r>
    </w:p>
    <w:p w:rsidR="00CE30B6" w:rsidRPr="009949E1" w:rsidRDefault="00CE30B6" w:rsidP="00CE30B6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TrebuchetMS"/>
          <w:lang w:eastAsia="en-US"/>
        </w:rPr>
      </w:pPr>
      <w:r w:rsidRPr="009949E1">
        <w:rPr>
          <w:rFonts w:asciiTheme="majorHAnsi" w:eastAsiaTheme="minorHAnsi" w:hAnsiTheme="majorHAnsi" w:cs="TrebuchetMS"/>
          <w:lang w:eastAsia="en-US"/>
        </w:rPr>
        <w:tab/>
      </w:r>
    </w:p>
    <w:p w:rsidR="00CE30B6" w:rsidRPr="00B75B4E" w:rsidRDefault="00CE30B6" w:rsidP="00CE30B6">
      <w:pPr>
        <w:spacing w:line="276" w:lineRule="auto"/>
        <w:jc w:val="both"/>
        <w:rPr>
          <w:rFonts w:asciiTheme="majorHAnsi" w:hAnsiTheme="majorHAnsi" w:cs="Arial"/>
          <w:b/>
        </w:rPr>
      </w:pPr>
      <w:r w:rsidRPr="00B75B4E">
        <w:rPr>
          <w:rFonts w:asciiTheme="majorHAnsi" w:hAnsiTheme="majorHAnsi" w:cs="Arial"/>
          <w:b/>
          <w:u w:val="thick" w:color="F79646"/>
        </w:rPr>
        <w:t>Mode d’évaluation:</w:t>
      </w:r>
    </w:p>
    <w:p w:rsidR="00CE30B6" w:rsidRPr="00B75B4E" w:rsidRDefault="00CE30B6" w:rsidP="00CE30B6">
      <w:pPr>
        <w:tabs>
          <w:tab w:val="right" w:pos="9638"/>
        </w:tabs>
        <w:spacing w:line="276" w:lineRule="auto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  <w:r w:rsidRPr="00B75B4E">
        <w:rPr>
          <w:rFonts w:asciiTheme="majorHAnsi" w:hAnsiTheme="majorHAnsi" w:cs="Arial"/>
          <w:sz w:val="22"/>
          <w:szCs w:val="22"/>
        </w:rPr>
        <w:t>Contrôle continu: 40% ; Examen: 60%.</w:t>
      </w:r>
      <w:r w:rsidRPr="00B75B4E">
        <w:rPr>
          <w:rFonts w:asciiTheme="majorHAnsi" w:hAnsiTheme="majorHAnsi" w:cs="Arial"/>
          <w:sz w:val="22"/>
          <w:szCs w:val="22"/>
        </w:rPr>
        <w:tab/>
      </w:r>
    </w:p>
    <w:p w:rsidR="00CE30B6" w:rsidRPr="00B75B4E" w:rsidRDefault="00CE30B6" w:rsidP="00CE30B6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CE30B6" w:rsidRPr="00B75B4E" w:rsidRDefault="00CE30B6" w:rsidP="00CE30B6">
      <w:pPr>
        <w:spacing w:line="276" w:lineRule="auto"/>
        <w:jc w:val="both"/>
        <w:rPr>
          <w:rFonts w:asciiTheme="majorHAnsi" w:hAnsiTheme="majorHAnsi"/>
        </w:rPr>
      </w:pPr>
      <w:r w:rsidRPr="00B75B4E">
        <w:rPr>
          <w:rFonts w:asciiTheme="majorHAnsi" w:hAnsiTheme="majorHAnsi" w:cs="Arial"/>
          <w:b/>
          <w:u w:val="thick" w:color="F79646"/>
        </w:rPr>
        <w:t>Références bibliographiques</w:t>
      </w:r>
      <w:r w:rsidRPr="00B75B4E">
        <w:rPr>
          <w:rFonts w:asciiTheme="majorHAnsi" w:hAnsiTheme="majorHAnsi" w:cs="Arial"/>
          <w:b/>
          <w:iCs/>
          <w:u w:val="thick" w:color="F79646"/>
        </w:rPr>
        <w:t>:</w:t>
      </w:r>
    </w:p>
    <w:p w:rsidR="00CE30B6" w:rsidRPr="00B75B4E" w:rsidRDefault="00CE30B6" w:rsidP="00CE30B6">
      <w:pPr>
        <w:rPr>
          <w:rFonts w:asciiTheme="majorHAnsi" w:hAnsiTheme="majorHAnsi"/>
        </w:rPr>
      </w:pPr>
    </w:p>
    <w:p w:rsidR="00CE30B6" w:rsidRPr="00B75B4E" w:rsidRDefault="00CE30B6" w:rsidP="00CE30B6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proofErr w:type="spellStart"/>
      <w:r w:rsidRPr="00B75B4E">
        <w:rPr>
          <w:rFonts w:asciiTheme="majorHAnsi" w:hAnsiTheme="majorHAnsi"/>
          <w:sz w:val="22"/>
          <w:szCs w:val="22"/>
        </w:rPr>
        <w:t>YadolahDodge</w:t>
      </w:r>
      <w:proofErr w:type="spellEnd"/>
      <w:r w:rsidRPr="00B75B4E">
        <w:rPr>
          <w:rFonts w:asciiTheme="majorHAnsi" w:hAnsiTheme="majorHAnsi"/>
          <w:sz w:val="22"/>
          <w:szCs w:val="22"/>
        </w:rPr>
        <w:t xml:space="preserve"> « Optimisation appliquée »  Springer –</w:t>
      </w:r>
      <w:proofErr w:type="spellStart"/>
      <w:r w:rsidRPr="00B75B4E">
        <w:rPr>
          <w:rFonts w:asciiTheme="majorHAnsi" w:hAnsiTheme="majorHAnsi"/>
          <w:sz w:val="22"/>
          <w:szCs w:val="22"/>
        </w:rPr>
        <w:t>Verlag</w:t>
      </w:r>
      <w:proofErr w:type="spellEnd"/>
      <w:r w:rsidRPr="00B75B4E">
        <w:rPr>
          <w:rFonts w:asciiTheme="majorHAnsi" w:hAnsiTheme="majorHAnsi"/>
          <w:sz w:val="22"/>
          <w:szCs w:val="22"/>
        </w:rPr>
        <w:t xml:space="preserve"> France 2005</w:t>
      </w:r>
      <w:proofErr w:type="gramStart"/>
      <w:r w:rsidRPr="00B75B4E">
        <w:rPr>
          <w:rFonts w:asciiTheme="majorHAnsi" w:hAnsiTheme="majorHAnsi"/>
          <w:sz w:val="22"/>
          <w:szCs w:val="22"/>
        </w:rPr>
        <w:t>,ISBN</w:t>
      </w:r>
      <w:proofErr w:type="gramEnd"/>
      <w:r w:rsidRPr="00B75B4E">
        <w:rPr>
          <w:rFonts w:asciiTheme="majorHAnsi" w:hAnsiTheme="majorHAnsi"/>
          <w:sz w:val="22"/>
          <w:szCs w:val="22"/>
        </w:rPr>
        <w:t xml:space="preserve"> : </w:t>
      </w:r>
      <w:r w:rsidRPr="009949E1">
        <w:rPr>
          <w:rFonts w:asciiTheme="majorHAnsi" w:hAnsiTheme="majorHAnsi"/>
          <w:sz w:val="20"/>
          <w:szCs w:val="20"/>
        </w:rPr>
        <w:t>2-287-21335-</w:t>
      </w:r>
      <w:r w:rsidRPr="00B75B4E">
        <w:rPr>
          <w:rFonts w:asciiTheme="majorHAnsi" w:hAnsiTheme="majorHAnsi"/>
          <w:sz w:val="22"/>
          <w:szCs w:val="22"/>
        </w:rPr>
        <w:t xml:space="preserve">X </w:t>
      </w:r>
    </w:p>
    <w:p w:rsidR="00CE30B6" w:rsidRPr="00B75B4E" w:rsidRDefault="00CE30B6" w:rsidP="00CE30B6">
      <w:pPr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Calibri" w:hAnsiTheme="majorHAnsi" w:cs="FrugalSans-Light-DTC"/>
          <w:sz w:val="22"/>
          <w:szCs w:val="22"/>
          <w:lang w:val="en-US" w:eastAsia="fr-FR"/>
        </w:rPr>
      </w:pPr>
      <w:r w:rsidRPr="00B75B4E">
        <w:rPr>
          <w:rFonts w:asciiTheme="majorHAnsi" w:eastAsia="Calibri" w:hAnsiTheme="majorHAnsi" w:cs="FrugalSans-Light-DTC"/>
          <w:sz w:val="22"/>
          <w:szCs w:val="22"/>
          <w:lang w:val="en-US" w:eastAsia="fr-FR"/>
        </w:rPr>
        <w:t xml:space="preserve">Lorenz T. </w:t>
      </w:r>
      <w:proofErr w:type="spellStart"/>
      <w:r w:rsidRPr="00B75B4E">
        <w:rPr>
          <w:rFonts w:asciiTheme="majorHAnsi" w:eastAsia="Calibri" w:hAnsiTheme="majorHAnsi" w:cs="FrugalSans-Light-DTC"/>
          <w:sz w:val="22"/>
          <w:szCs w:val="22"/>
          <w:lang w:val="en-US" w:eastAsia="fr-FR"/>
        </w:rPr>
        <w:t>Biegler</w:t>
      </w:r>
      <w:proofErr w:type="spellEnd"/>
      <w:r w:rsidRPr="00B75B4E">
        <w:rPr>
          <w:rFonts w:asciiTheme="majorHAnsi" w:eastAsia="Calibri" w:hAnsiTheme="majorHAnsi" w:cs="FrugalSans-Light-DTC"/>
          <w:sz w:val="22"/>
          <w:szCs w:val="22"/>
          <w:lang w:val="en-US" w:eastAsia="fr-FR"/>
        </w:rPr>
        <w:t xml:space="preserve">. « Nonlinear programming : concepts, algorithms, and applications to chemical processes”, 2010 by the Society for Industrial and Applied Mathematics and the </w:t>
      </w:r>
      <w:proofErr w:type="spellStart"/>
      <w:r w:rsidRPr="00B75B4E">
        <w:rPr>
          <w:rFonts w:asciiTheme="majorHAnsi" w:eastAsia="Calibri" w:hAnsiTheme="majorHAnsi" w:cs="FrugalSans-Light-DTC"/>
          <w:sz w:val="22"/>
          <w:szCs w:val="22"/>
          <w:lang w:val="en-US" w:eastAsia="fr-FR"/>
        </w:rPr>
        <w:t>Mathematical,Optimization</w:t>
      </w:r>
      <w:proofErr w:type="spellEnd"/>
      <w:r w:rsidRPr="00B75B4E">
        <w:rPr>
          <w:rFonts w:asciiTheme="majorHAnsi" w:eastAsia="Calibri" w:hAnsiTheme="majorHAnsi" w:cs="FrugalSans-Light-DTC"/>
          <w:sz w:val="22"/>
          <w:szCs w:val="22"/>
          <w:lang w:val="en-US" w:eastAsia="fr-FR"/>
        </w:rPr>
        <w:t xml:space="preserve"> Society</w:t>
      </w:r>
    </w:p>
    <w:p w:rsidR="00CE30B6" w:rsidRPr="00B75B4E" w:rsidRDefault="00CE30B6" w:rsidP="00CE30B6">
      <w:pPr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Calibri" w:hAnsiTheme="majorHAnsi" w:cs="FrugalSans-Light-DTC"/>
          <w:sz w:val="22"/>
          <w:szCs w:val="22"/>
          <w:lang w:val="en-US" w:eastAsia="fr-FR"/>
        </w:rPr>
      </w:pPr>
      <w:r w:rsidRPr="00B75B4E">
        <w:rPr>
          <w:rFonts w:asciiTheme="majorHAnsi" w:eastAsia="Calibri" w:hAnsiTheme="majorHAnsi" w:cs="FrugalSans-Light-DTC"/>
          <w:sz w:val="22"/>
          <w:szCs w:val="22"/>
          <w:lang w:val="en-US" w:eastAsia="fr-FR"/>
        </w:rPr>
        <w:t>Bruce a. Finlayson, “Introduction to chemical engineering computing”, 2006 by John Wiley &amp; Sons, Inc</w:t>
      </w:r>
    </w:p>
    <w:p w:rsidR="00CE30B6" w:rsidRPr="00B75B4E" w:rsidRDefault="00CE30B6" w:rsidP="00CE30B6">
      <w:pPr>
        <w:rPr>
          <w:rFonts w:asciiTheme="majorHAnsi" w:hAnsiTheme="majorHAnsi"/>
          <w:lang w:val="en-US"/>
        </w:rPr>
      </w:pPr>
    </w:p>
    <w:p w:rsidR="00184FC8" w:rsidRPr="00CE30B6" w:rsidRDefault="00D5185A">
      <w:pPr>
        <w:rPr>
          <w:lang w:val="en-US"/>
        </w:rPr>
      </w:pPr>
    </w:p>
    <w:sectPr w:rsidR="00184FC8" w:rsidRPr="00CE30B6" w:rsidSect="00CC13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galSans-Light-DT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4B4"/>
    <w:multiLevelType w:val="hybridMultilevel"/>
    <w:tmpl w:val="92B48AC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0B6"/>
    <w:rsid w:val="000646E4"/>
    <w:rsid w:val="004D11E6"/>
    <w:rsid w:val="00C9226E"/>
    <w:rsid w:val="00CC13DB"/>
    <w:rsid w:val="00CE30B6"/>
    <w:rsid w:val="00D5185A"/>
    <w:rsid w:val="00E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Kamel</cp:lastModifiedBy>
  <cp:revision>3</cp:revision>
  <dcterms:created xsi:type="dcterms:W3CDTF">2019-09-23T19:51:00Z</dcterms:created>
  <dcterms:modified xsi:type="dcterms:W3CDTF">2019-10-02T19:44:00Z</dcterms:modified>
</cp:coreProperties>
</file>