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3B3C" w:rsidRDefault="00073B3C" w:rsidP="00F67E76">
      <w:pPr>
        <w:autoSpaceDE w:val="0"/>
        <w:autoSpaceDN w:val="0"/>
        <w:adjustRightInd w:val="0"/>
        <w:spacing w:after="0" w:line="240" w:lineRule="auto"/>
        <w:rPr>
          <w:rFonts w:asciiTheme="majorBidi" w:hAnsiTheme="majorBidi" w:cstheme="majorBidi"/>
          <w:b/>
          <w:bCs/>
          <w:sz w:val="36"/>
          <w:szCs w:val="36"/>
        </w:rPr>
      </w:pPr>
      <w:r w:rsidRPr="00073B3C">
        <w:rPr>
          <w:rFonts w:asciiTheme="majorBidi" w:hAnsiTheme="majorBidi" w:cstheme="majorBidi"/>
          <w:b/>
          <w:bCs/>
          <w:sz w:val="36"/>
          <w:szCs w:val="36"/>
        </w:rPr>
        <w:t>Cours N°6 : la gestation</w:t>
      </w:r>
    </w:p>
    <w:p w:rsidR="002A534E" w:rsidRDefault="002A534E" w:rsidP="00F67E76">
      <w:pPr>
        <w:autoSpaceDE w:val="0"/>
        <w:autoSpaceDN w:val="0"/>
        <w:adjustRightInd w:val="0"/>
        <w:spacing w:after="0" w:line="240" w:lineRule="auto"/>
        <w:rPr>
          <w:rFonts w:asciiTheme="majorBidi" w:hAnsiTheme="majorBidi" w:cstheme="majorBidi"/>
          <w:b/>
          <w:bCs/>
          <w:sz w:val="36"/>
          <w:szCs w:val="36"/>
        </w:rPr>
      </w:pPr>
    </w:p>
    <w:p w:rsidR="002A534E" w:rsidRDefault="002A534E" w:rsidP="00F67E76">
      <w:pPr>
        <w:autoSpaceDE w:val="0"/>
        <w:autoSpaceDN w:val="0"/>
        <w:adjustRightInd w:val="0"/>
        <w:spacing w:after="0" w:line="240" w:lineRule="auto"/>
        <w:rPr>
          <w:rFonts w:asciiTheme="majorBidi" w:hAnsiTheme="majorBidi" w:cstheme="majorBidi"/>
          <w:b/>
          <w:bCs/>
          <w:sz w:val="36"/>
          <w:szCs w:val="36"/>
        </w:rPr>
      </w:pPr>
    </w:p>
    <w:p w:rsidR="00073B3C" w:rsidRPr="00073B3C" w:rsidRDefault="00073B3C" w:rsidP="00F67E76">
      <w:pPr>
        <w:autoSpaceDE w:val="0"/>
        <w:autoSpaceDN w:val="0"/>
        <w:adjustRightInd w:val="0"/>
        <w:spacing w:after="0" w:line="240" w:lineRule="auto"/>
        <w:rPr>
          <w:rFonts w:asciiTheme="majorBidi" w:hAnsiTheme="majorBidi" w:cstheme="majorBidi"/>
          <w:b/>
          <w:bCs/>
          <w:sz w:val="36"/>
          <w:szCs w:val="36"/>
        </w:rPr>
      </w:pPr>
    </w:p>
    <w:p w:rsidR="00073B3C" w:rsidRDefault="00073B3C" w:rsidP="002A534E">
      <w:pPr>
        <w:autoSpaceDE w:val="0"/>
        <w:autoSpaceDN w:val="0"/>
        <w:adjustRightInd w:val="0"/>
        <w:spacing w:after="0" w:line="240" w:lineRule="auto"/>
        <w:rPr>
          <w:rFonts w:asciiTheme="majorBidi" w:hAnsiTheme="majorBidi" w:cstheme="majorBidi"/>
          <w:sz w:val="24"/>
          <w:szCs w:val="24"/>
        </w:rPr>
      </w:pPr>
      <w:r w:rsidRPr="00073B3C">
        <w:rPr>
          <w:rFonts w:asciiTheme="majorBidi" w:hAnsiTheme="majorBidi" w:cstheme="majorBidi"/>
          <w:sz w:val="24"/>
          <w:szCs w:val="24"/>
        </w:rPr>
        <w:drawing>
          <wp:inline distT="0" distB="0" distL="0" distR="0">
            <wp:extent cx="5760720" cy="3320713"/>
            <wp:effectExtent l="19050" t="0" r="0" b="0"/>
            <wp:docPr id="3" name="Image 3" descr="E:\STPA\semestre 5\anatomie et physiologie animale\Cours, TP et TD  d'Anatomie et physiologie animale\velage\3.jpg"/>
            <wp:cNvGraphicFramePr/>
            <a:graphic xmlns:a="http://schemas.openxmlformats.org/drawingml/2006/main">
              <a:graphicData uri="http://schemas.openxmlformats.org/drawingml/2006/picture">
                <pic:pic xmlns:pic="http://schemas.openxmlformats.org/drawingml/2006/picture">
                  <pic:nvPicPr>
                    <pic:cNvPr id="8194" name="Picture 2" descr="E:\STPA\semestre 5\anatomie et physiologie animale\Cours, TP et TD  d'Anatomie et physiologie animale\velage\3.jpg"/>
                    <pic:cNvPicPr>
                      <a:picLocks noChangeAspect="1" noChangeArrowheads="1"/>
                    </pic:cNvPicPr>
                  </pic:nvPicPr>
                  <pic:blipFill>
                    <a:blip r:embed="rId5" cstate="print"/>
                    <a:srcRect/>
                    <a:stretch>
                      <a:fillRect/>
                    </a:stretch>
                  </pic:blipFill>
                  <pic:spPr bwMode="auto">
                    <a:xfrm>
                      <a:off x="0" y="0"/>
                      <a:ext cx="5760720" cy="3320713"/>
                    </a:xfrm>
                    <a:prstGeom prst="rect">
                      <a:avLst/>
                    </a:prstGeom>
                    <a:noFill/>
                  </pic:spPr>
                </pic:pic>
              </a:graphicData>
            </a:graphic>
          </wp:inline>
        </w:drawing>
      </w:r>
    </w:p>
    <w:p w:rsidR="00073B3C" w:rsidRDefault="00073B3C" w:rsidP="00F67E76">
      <w:pPr>
        <w:autoSpaceDE w:val="0"/>
        <w:autoSpaceDN w:val="0"/>
        <w:adjustRightInd w:val="0"/>
        <w:spacing w:after="0" w:line="240" w:lineRule="auto"/>
        <w:rPr>
          <w:rFonts w:asciiTheme="majorBidi" w:hAnsiTheme="majorBidi" w:cstheme="majorBidi"/>
          <w:sz w:val="24"/>
          <w:szCs w:val="24"/>
        </w:rPr>
      </w:pPr>
    </w:p>
    <w:p w:rsidR="00F67E76" w:rsidRDefault="00F67E76" w:rsidP="00073B3C">
      <w:pPr>
        <w:autoSpaceDE w:val="0"/>
        <w:autoSpaceDN w:val="0"/>
        <w:adjustRightInd w:val="0"/>
        <w:spacing w:after="0" w:line="240" w:lineRule="auto"/>
        <w:rPr>
          <w:rFonts w:asciiTheme="majorBidi" w:hAnsiTheme="majorBidi" w:cstheme="majorBidi"/>
          <w:sz w:val="24"/>
          <w:szCs w:val="24"/>
        </w:rPr>
      </w:pPr>
      <w:r w:rsidRPr="003C55C7">
        <w:rPr>
          <w:rFonts w:asciiTheme="majorBidi" w:hAnsiTheme="majorBidi" w:cstheme="majorBidi"/>
          <w:sz w:val="24"/>
          <w:szCs w:val="24"/>
        </w:rPr>
        <w:t>Table des matières</w:t>
      </w:r>
    </w:p>
    <w:p w:rsidR="00F67E76" w:rsidRPr="003C55C7" w:rsidRDefault="00F67E76" w:rsidP="00F67E76">
      <w:pPr>
        <w:autoSpaceDE w:val="0"/>
        <w:autoSpaceDN w:val="0"/>
        <w:adjustRightInd w:val="0"/>
        <w:spacing w:after="0" w:line="240" w:lineRule="auto"/>
        <w:rPr>
          <w:rFonts w:asciiTheme="majorBidi" w:hAnsiTheme="majorBidi" w:cstheme="majorBidi"/>
          <w:sz w:val="24"/>
          <w:szCs w:val="24"/>
        </w:rPr>
      </w:pPr>
      <w:r w:rsidRPr="003C55C7">
        <w:rPr>
          <w:rFonts w:asciiTheme="majorBidi" w:hAnsiTheme="majorBidi" w:cstheme="majorBidi"/>
          <w:sz w:val="24"/>
          <w:szCs w:val="24"/>
        </w:rPr>
        <w:t xml:space="preserve">4. Rappels anatomiques : la gestation </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 xml:space="preserve">4.1. Latéralité de la gestation </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 xml:space="preserve">4.2. Poids de l'utérus </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4.3. Longueur de la corne</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4.4. Epaisseur de la paroi utérine</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4.5. L'utérus gestant: modifications placentaires</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 xml:space="preserve">4.6. L'utérus gestant : la détermination de l'âge </w:t>
      </w:r>
      <w:proofErr w:type="spellStart"/>
      <w:r w:rsidRPr="003C55C7">
        <w:rPr>
          <w:rFonts w:asciiTheme="majorBidi" w:hAnsiTheme="majorBidi" w:cstheme="majorBidi"/>
          <w:sz w:val="24"/>
          <w:szCs w:val="24"/>
        </w:rPr>
        <w:t>foetal</w:t>
      </w:r>
      <w:proofErr w:type="spellEnd"/>
      <w:r w:rsidRPr="003C55C7">
        <w:rPr>
          <w:rFonts w:asciiTheme="majorBidi" w:hAnsiTheme="majorBidi" w:cstheme="majorBidi"/>
          <w:sz w:val="24"/>
          <w:szCs w:val="24"/>
        </w:rPr>
        <w:t xml:space="preserve"> </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 xml:space="preserve">4.7. L'utérus gestant : l'artère utérine </w:t>
      </w:r>
    </w:p>
    <w:p w:rsidR="00F67E76" w:rsidRPr="003C55C7"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 xml:space="preserve">4.8. L'utérus gestant : le grand </w:t>
      </w:r>
      <w:proofErr w:type="spellStart"/>
      <w:r w:rsidRPr="003C55C7">
        <w:rPr>
          <w:rFonts w:asciiTheme="majorBidi" w:hAnsiTheme="majorBidi" w:cstheme="majorBidi"/>
          <w:sz w:val="24"/>
          <w:szCs w:val="24"/>
        </w:rPr>
        <w:t>epiploon</w:t>
      </w:r>
      <w:proofErr w:type="spellEnd"/>
    </w:p>
    <w:p w:rsidR="00F67E76" w:rsidRDefault="00F67E76" w:rsidP="00F67E76">
      <w:pPr>
        <w:autoSpaceDE w:val="0"/>
        <w:autoSpaceDN w:val="0"/>
        <w:adjustRightInd w:val="0"/>
        <w:spacing w:after="0" w:line="240" w:lineRule="auto"/>
        <w:ind w:firstLine="708"/>
        <w:rPr>
          <w:rFonts w:asciiTheme="majorBidi" w:hAnsiTheme="majorBidi" w:cstheme="majorBidi"/>
          <w:sz w:val="24"/>
          <w:szCs w:val="24"/>
        </w:rPr>
      </w:pPr>
      <w:r w:rsidRPr="003C55C7">
        <w:rPr>
          <w:rFonts w:asciiTheme="majorBidi" w:hAnsiTheme="majorBidi" w:cstheme="majorBidi"/>
          <w:sz w:val="24"/>
          <w:szCs w:val="24"/>
        </w:rPr>
        <w:t xml:space="preserve">4.9. L'utérus gestant : chronologie du développement de l'utérus et du </w:t>
      </w:r>
      <w:r>
        <w:rPr>
          <w:rFonts w:asciiTheme="majorBidi" w:hAnsiTheme="majorBidi" w:cstheme="majorBidi"/>
          <w:sz w:val="24"/>
          <w:szCs w:val="24"/>
        </w:rPr>
        <w:t>fœtus</w:t>
      </w:r>
    </w:p>
    <w:p w:rsidR="00F67E76" w:rsidRDefault="00F67E76" w:rsidP="00F67E76">
      <w:pPr>
        <w:autoSpaceDE w:val="0"/>
        <w:autoSpaceDN w:val="0"/>
        <w:adjustRightInd w:val="0"/>
        <w:spacing w:after="0" w:line="240" w:lineRule="auto"/>
        <w:ind w:firstLine="708"/>
        <w:rPr>
          <w:rFonts w:asciiTheme="majorBidi" w:hAnsiTheme="majorBidi" w:cstheme="majorBidi"/>
          <w:sz w:val="24"/>
          <w:szCs w:val="24"/>
        </w:rPr>
      </w:pPr>
    </w:p>
    <w:p w:rsidR="00F67E76" w:rsidRDefault="00F67E76" w:rsidP="00F67E76">
      <w:pPr>
        <w:autoSpaceDE w:val="0"/>
        <w:autoSpaceDN w:val="0"/>
        <w:adjustRightInd w:val="0"/>
        <w:spacing w:after="0" w:line="240" w:lineRule="auto"/>
        <w:ind w:firstLine="708"/>
        <w:jc w:val="center"/>
        <w:rPr>
          <w:rFonts w:asciiTheme="majorBidi" w:hAnsiTheme="majorBidi" w:cstheme="majorBidi"/>
          <w:sz w:val="24"/>
          <w:szCs w:val="24"/>
        </w:rPr>
      </w:pPr>
    </w:p>
    <w:p w:rsidR="00F67E76" w:rsidRDefault="00F67E76" w:rsidP="00F67E76">
      <w:pPr>
        <w:autoSpaceDE w:val="0"/>
        <w:autoSpaceDN w:val="0"/>
        <w:adjustRightInd w:val="0"/>
        <w:spacing w:after="0" w:line="240" w:lineRule="auto"/>
        <w:jc w:val="both"/>
        <w:rPr>
          <w:rFonts w:asciiTheme="majorBidi" w:hAnsiTheme="majorBidi" w:cstheme="majorBidi"/>
          <w:b/>
          <w:bCs/>
          <w:sz w:val="24"/>
          <w:szCs w:val="24"/>
        </w:rPr>
      </w:pPr>
    </w:p>
    <w:p w:rsidR="00073B3C" w:rsidRDefault="00073B3C">
      <w:pPr>
        <w:rPr>
          <w:rFonts w:asciiTheme="majorBidi" w:hAnsiTheme="majorBidi" w:cstheme="majorBidi"/>
          <w:b/>
          <w:bCs/>
          <w:sz w:val="24"/>
          <w:szCs w:val="24"/>
        </w:rPr>
      </w:pPr>
      <w:r>
        <w:rPr>
          <w:rFonts w:asciiTheme="majorBidi" w:hAnsiTheme="majorBidi" w:cstheme="majorBidi"/>
          <w:b/>
          <w:bCs/>
          <w:sz w:val="24"/>
          <w:szCs w:val="24"/>
        </w:rPr>
        <w:br w:type="page"/>
      </w:r>
    </w:p>
    <w:p w:rsidR="00F67E76" w:rsidRPr="003C55C7" w:rsidRDefault="00F67E76" w:rsidP="00F67E76">
      <w:pPr>
        <w:autoSpaceDE w:val="0"/>
        <w:autoSpaceDN w:val="0"/>
        <w:adjustRightInd w:val="0"/>
        <w:spacing w:after="0" w:line="240" w:lineRule="auto"/>
        <w:jc w:val="both"/>
        <w:rPr>
          <w:rFonts w:asciiTheme="majorBidi" w:hAnsiTheme="majorBidi" w:cstheme="majorBidi"/>
          <w:b/>
          <w:bCs/>
          <w:sz w:val="24"/>
          <w:szCs w:val="24"/>
        </w:rPr>
      </w:pPr>
      <w:r w:rsidRPr="003C55C7">
        <w:rPr>
          <w:rFonts w:asciiTheme="majorBidi" w:hAnsiTheme="majorBidi" w:cstheme="majorBidi"/>
          <w:b/>
          <w:bCs/>
          <w:sz w:val="24"/>
          <w:szCs w:val="24"/>
        </w:rPr>
        <w:lastRenderedPageBreak/>
        <w:t>4. Rappels anatomiques : la gestation</w:t>
      </w: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4.1. Latéralité de la gestation</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Tous les auteurs s’accordent à dire que chez la vache la corne droite est plus souvent gravide que la corne gauche. Des</w:t>
      </w:r>
      <w:r>
        <w:rPr>
          <w:rFonts w:asciiTheme="majorBidi" w:hAnsiTheme="majorBidi" w:cstheme="majorBidi"/>
          <w:sz w:val="24"/>
          <w:szCs w:val="24"/>
        </w:rPr>
        <w:t xml:space="preserve"> </w:t>
      </w:r>
      <w:r w:rsidRPr="003C55C7">
        <w:rPr>
          <w:rFonts w:asciiTheme="majorBidi" w:hAnsiTheme="majorBidi" w:cstheme="majorBidi"/>
          <w:sz w:val="24"/>
          <w:szCs w:val="24"/>
        </w:rPr>
        <w:t>valeurs comprises entre 57 et 67 % ont été avancées, une valeur moyenne de 60 % pouvant être retenue. De même, le taux</w:t>
      </w:r>
      <w:r>
        <w:rPr>
          <w:rFonts w:asciiTheme="majorBidi" w:hAnsiTheme="majorBidi" w:cstheme="majorBidi"/>
          <w:sz w:val="24"/>
          <w:szCs w:val="24"/>
        </w:rPr>
        <w:t xml:space="preserve"> </w:t>
      </w:r>
      <w:r w:rsidRPr="003C55C7">
        <w:rPr>
          <w:rFonts w:asciiTheme="majorBidi" w:hAnsiTheme="majorBidi" w:cstheme="majorBidi"/>
          <w:sz w:val="24"/>
          <w:szCs w:val="24"/>
        </w:rPr>
        <w:t>de gémellité est compris selon plusieurs enquêtes entre 0.5 % dans le bétail à viande et 1.04 % dans le bétail laitier. Des</w:t>
      </w:r>
      <w:r>
        <w:rPr>
          <w:rFonts w:asciiTheme="majorBidi" w:hAnsiTheme="majorBidi" w:cstheme="majorBidi"/>
          <w:sz w:val="24"/>
          <w:szCs w:val="24"/>
        </w:rPr>
        <w:t xml:space="preserve"> </w:t>
      </w:r>
      <w:r w:rsidRPr="003C55C7">
        <w:rPr>
          <w:rFonts w:asciiTheme="majorBidi" w:hAnsiTheme="majorBidi" w:cstheme="majorBidi"/>
          <w:sz w:val="24"/>
          <w:szCs w:val="24"/>
        </w:rPr>
        <w:t>pourcentages peuvent augmenter chez les sujets bien entretenus ou plus âgés. Le plus souvent il y a un fœtus dans chaque</w:t>
      </w:r>
      <w:r>
        <w:rPr>
          <w:rFonts w:asciiTheme="majorBidi" w:hAnsiTheme="majorBidi" w:cstheme="majorBidi"/>
          <w:sz w:val="24"/>
          <w:szCs w:val="24"/>
        </w:rPr>
        <w:t xml:space="preserve"> </w:t>
      </w:r>
      <w:r w:rsidRPr="003C55C7">
        <w:rPr>
          <w:rFonts w:asciiTheme="majorBidi" w:hAnsiTheme="majorBidi" w:cstheme="majorBidi"/>
          <w:sz w:val="24"/>
          <w:szCs w:val="24"/>
        </w:rPr>
        <w:t>corne et un corps jaune sur chaque ovaire. Des gestations unilatérales ont néanmoins été observées. Dans 4 à 6 % des cas</w:t>
      </w:r>
      <w:r>
        <w:rPr>
          <w:rFonts w:asciiTheme="majorBidi" w:hAnsiTheme="majorBidi" w:cstheme="majorBidi"/>
          <w:sz w:val="24"/>
          <w:szCs w:val="24"/>
        </w:rPr>
        <w:t xml:space="preserve"> </w:t>
      </w:r>
      <w:r w:rsidRPr="003C55C7">
        <w:rPr>
          <w:rFonts w:asciiTheme="majorBidi" w:hAnsiTheme="majorBidi" w:cstheme="majorBidi"/>
          <w:sz w:val="24"/>
          <w:szCs w:val="24"/>
        </w:rPr>
        <w:t>une gestation gémellaire peut être observée avec un seul corps jaune. Les triplés seraient observés dans 0.02 % des</w:t>
      </w:r>
      <w:r>
        <w:rPr>
          <w:rFonts w:asciiTheme="majorBidi" w:hAnsiTheme="majorBidi" w:cstheme="majorBidi"/>
          <w:sz w:val="24"/>
          <w:szCs w:val="24"/>
        </w:rPr>
        <w:t xml:space="preserve"> </w:t>
      </w:r>
      <w:r w:rsidRPr="003C55C7">
        <w:rPr>
          <w:rFonts w:asciiTheme="majorBidi" w:hAnsiTheme="majorBidi" w:cstheme="majorBidi"/>
          <w:sz w:val="24"/>
          <w:szCs w:val="24"/>
        </w:rPr>
        <w:t>gestations.</w:t>
      </w:r>
    </w:p>
    <w:p w:rsidR="00073B3C" w:rsidRDefault="00073B3C" w:rsidP="00F67E76">
      <w:pPr>
        <w:autoSpaceDE w:val="0"/>
        <w:autoSpaceDN w:val="0"/>
        <w:adjustRightInd w:val="0"/>
        <w:spacing w:after="0" w:line="240" w:lineRule="auto"/>
        <w:ind w:left="708"/>
        <w:jc w:val="both"/>
        <w:rPr>
          <w:rFonts w:asciiTheme="majorBidi" w:hAnsiTheme="majorBidi" w:cstheme="majorBidi"/>
          <w:sz w:val="24"/>
          <w:szCs w:val="24"/>
        </w:rPr>
      </w:pPr>
    </w:p>
    <w:p w:rsidR="00073B3C" w:rsidRDefault="00073B3C" w:rsidP="002A534E">
      <w:pPr>
        <w:autoSpaceDE w:val="0"/>
        <w:autoSpaceDN w:val="0"/>
        <w:adjustRightInd w:val="0"/>
        <w:spacing w:after="0" w:line="240" w:lineRule="auto"/>
        <w:ind w:left="708"/>
        <w:jc w:val="center"/>
        <w:rPr>
          <w:rFonts w:asciiTheme="majorBidi" w:hAnsiTheme="majorBidi" w:cstheme="majorBidi"/>
          <w:sz w:val="24"/>
          <w:szCs w:val="24"/>
        </w:rPr>
      </w:pPr>
      <w:r w:rsidRPr="00073B3C">
        <w:rPr>
          <w:rFonts w:asciiTheme="majorBidi" w:hAnsiTheme="majorBidi" w:cstheme="majorBidi"/>
          <w:sz w:val="24"/>
          <w:szCs w:val="24"/>
        </w:rPr>
        <w:drawing>
          <wp:inline distT="0" distB="0" distL="0" distR="0">
            <wp:extent cx="4748784" cy="6192498"/>
            <wp:effectExtent l="19050" t="0" r="0" b="0"/>
            <wp:docPr id="2" name="Image 2" descr="E:\STPA\semestre 5\anatomie et physiologie animale\Cours, TP et TD  d'Anatomie et physiologie animale\velage\4.jpg"/>
            <wp:cNvGraphicFramePr/>
            <a:graphic xmlns:a="http://schemas.openxmlformats.org/drawingml/2006/main">
              <a:graphicData uri="http://schemas.openxmlformats.org/drawingml/2006/picture">
                <pic:pic xmlns:pic="http://schemas.openxmlformats.org/drawingml/2006/picture">
                  <pic:nvPicPr>
                    <pic:cNvPr id="6146" name="Picture 2" descr="E:\STPA\semestre 5\anatomie et physiologie animale\Cours, TP et TD  d'Anatomie et physiologie animale\velage\4.jpg"/>
                    <pic:cNvPicPr>
                      <a:picLocks noChangeAspect="1" noChangeArrowheads="1"/>
                    </pic:cNvPicPr>
                  </pic:nvPicPr>
                  <pic:blipFill>
                    <a:blip r:embed="rId6" cstate="print"/>
                    <a:srcRect/>
                    <a:stretch>
                      <a:fillRect/>
                    </a:stretch>
                  </pic:blipFill>
                  <pic:spPr bwMode="auto">
                    <a:xfrm>
                      <a:off x="0" y="0"/>
                      <a:ext cx="4748979" cy="6192753"/>
                    </a:xfrm>
                    <a:prstGeom prst="rect">
                      <a:avLst/>
                    </a:prstGeom>
                    <a:noFill/>
                  </pic:spPr>
                </pic:pic>
              </a:graphicData>
            </a:graphic>
          </wp:inline>
        </w:drawing>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4.2. Poids de l'utérus</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Le poids de l’utérus avec son contenu se trouve centuplé au cours de la gestation. De 800 g à la fin du premier mois il passe</w:t>
      </w:r>
      <w:r>
        <w:rPr>
          <w:rFonts w:asciiTheme="majorBidi" w:hAnsiTheme="majorBidi" w:cstheme="majorBidi"/>
          <w:sz w:val="24"/>
          <w:szCs w:val="24"/>
        </w:rPr>
        <w:t xml:space="preserve"> </w:t>
      </w:r>
      <w:r w:rsidRPr="003C55C7">
        <w:rPr>
          <w:rFonts w:asciiTheme="majorBidi" w:hAnsiTheme="majorBidi" w:cstheme="majorBidi"/>
          <w:sz w:val="24"/>
          <w:szCs w:val="24"/>
        </w:rPr>
        <w:t xml:space="preserve">à 40 voire 80 </w:t>
      </w:r>
      <w:proofErr w:type="spellStart"/>
      <w:r w:rsidRPr="003C55C7">
        <w:rPr>
          <w:rFonts w:asciiTheme="majorBidi" w:hAnsiTheme="majorBidi" w:cstheme="majorBidi"/>
          <w:sz w:val="24"/>
          <w:szCs w:val="24"/>
        </w:rPr>
        <w:t>kgs</w:t>
      </w:r>
      <w:proofErr w:type="spellEnd"/>
      <w:r w:rsidRPr="003C55C7">
        <w:rPr>
          <w:rFonts w:asciiTheme="majorBidi" w:hAnsiTheme="majorBidi" w:cstheme="majorBidi"/>
          <w:sz w:val="24"/>
          <w:szCs w:val="24"/>
        </w:rPr>
        <w:t xml:space="preserve"> à la fin du 9ème mois. Vidé de son contenu, l’utérus passe de 500 g à 6 voire 10 </w:t>
      </w:r>
      <w:proofErr w:type="spellStart"/>
      <w:r w:rsidRPr="003C55C7">
        <w:rPr>
          <w:rFonts w:asciiTheme="majorBidi" w:hAnsiTheme="majorBidi" w:cstheme="majorBidi"/>
          <w:sz w:val="24"/>
          <w:szCs w:val="24"/>
        </w:rPr>
        <w:t>kgs</w:t>
      </w:r>
      <w:proofErr w:type="spellEnd"/>
      <w:r w:rsidRPr="003C55C7">
        <w:rPr>
          <w:rFonts w:asciiTheme="majorBidi" w:hAnsiTheme="majorBidi" w:cstheme="majorBidi"/>
          <w:sz w:val="24"/>
          <w:szCs w:val="24"/>
        </w:rPr>
        <w:t xml:space="preserve"> en fin de gestation.</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Son poids serait multiplié par 15 à 18 chez la vache. Sa capacité passerait de 200 ml à 55 litres en fin de gestation.</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4.3. Longueur de la corne</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 xml:space="preserve">L’extension </w:t>
      </w:r>
      <w:proofErr w:type="spellStart"/>
      <w:r w:rsidRPr="003C55C7">
        <w:rPr>
          <w:rFonts w:asciiTheme="majorBidi" w:hAnsiTheme="majorBidi" w:cstheme="majorBidi"/>
          <w:sz w:val="24"/>
          <w:szCs w:val="24"/>
        </w:rPr>
        <w:t>crâniale</w:t>
      </w:r>
      <w:proofErr w:type="spellEnd"/>
      <w:r w:rsidRPr="003C55C7">
        <w:rPr>
          <w:rFonts w:asciiTheme="majorBidi" w:hAnsiTheme="majorBidi" w:cstheme="majorBidi"/>
          <w:sz w:val="24"/>
          <w:szCs w:val="24"/>
        </w:rPr>
        <w:t xml:space="preserve"> de la corne gestante est également remarquable : la distance séparant la grande courbure de l’</w:t>
      </w:r>
      <w:proofErr w:type="spellStart"/>
      <w:r w:rsidRPr="003C55C7">
        <w:rPr>
          <w:rFonts w:asciiTheme="majorBidi" w:hAnsiTheme="majorBidi" w:cstheme="majorBidi"/>
          <w:sz w:val="24"/>
          <w:szCs w:val="24"/>
        </w:rPr>
        <w:t>exocol</w:t>
      </w:r>
      <w:proofErr w:type="spellEnd"/>
      <w:r>
        <w:rPr>
          <w:rFonts w:asciiTheme="majorBidi" w:hAnsiTheme="majorBidi" w:cstheme="majorBidi"/>
          <w:sz w:val="24"/>
          <w:szCs w:val="24"/>
        </w:rPr>
        <w:t xml:space="preserve"> </w:t>
      </w:r>
      <w:r w:rsidRPr="003C55C7">
        <w:rPr>
          <w:rFonts w:asciiTheme="majorBidi" w:hAnsiTheme="majorBidi" w:cstheme="majorBidi"/>
          <w:sz w:val="24"/>
          <w:szCs w:val="24"/>
        </w:rPr>
        <w:t xml:space="preserve">passerait de 24 à 96 cm. Selon </w:t>
      </w:r>
      <w:proofErr w:type="spellStart"/>
      <w:r w:rsidRPr="003C55C7">
        <w:rPr>
          <w:rFonts w:asciiTheme="majorBidi" w:hAnsiTheme="majorBidi" w:cstheme="majorBidi"/>
          <w:sz w:val="24"/>
          <w:szCs w:val="24"/>
        </w:rPr>
        <w:t>Barone</w:t>
      </w:r>
      <w:proofErr w:type="spellEnd"/>
      <w:r w:rsidRPr="003C55C7">
        <w:rPr>
          <w:rFonts w:asciiTheme="majorBidi" w:hAnsiTheme="majorBidi" w:cstheme="majorBidi"/>
          <w:sz w:val="24"/>
          <w:szCs w:val="24"/>
        </w:rPr>
        <w:t>, l’utérus d’une vache de taille normale atteindrait 90 cm environ sur son grand axe</w:t>
      </w:r>
      <w:r>
        <w:rPr>
          <w:rFonts w:asciiTheme="majorBidi" w:hAnsiTheme="majorBidi" w:cstheme="majorBidi"/>
          <w:sz w:val="24"/>
          <w:szCs w:val="24"/>
        </w:rPr>
        <w:t xml:space="preserve"> </w:t>
      </w:r>
      <w:r w:rsidRPr="003C55C7">
        <w:rPr>
          <w:rFonts w:asciiTheme="majorBidi" w:hAnsiTheme="majorBidi" w:cstheme="majorBidi"/>
          <w:sz w:val="24"/>
          <w:szCs w:val="24"/>
        </w:rPr>
        <w:t>en fin de gestation. En fait cette valeur est sous-évaluée compte tenu de la forte incurvation de l’organe en cours de</w:t>
      </w:r>
      <w:r>
        <w:rPr>
          <w:rFonts w:asciiTheme="majorBidi" w:hAnsiTheme="majorBidi" w:cstheme="majorBidi"/>
          <w:sz w:val="24"/>
          <w:szCs w:val="24"/>
        </w:rPr>
        <w:t xml:space="preserve"> </w:t>
      </w:r>
      <w:r w:rsidRPr="003C55C7">
        <w:rPr>
          <w:rFonts w:asciiTheme="majorBidi" w:hAnsiTheme="majorBidi" w:cstheme="majorBidi"/>
          <w:sz w:val="24"/>
          <w:szCs w:val="24"/>
        </w:rPr>
        <w:t>gestation. Ainsi, mesurée au niveau de sa grande courbure, l’utérus atteindrait du col utérin à l’ovaire en fin de gestation 1.5</w:t>
      </w:r>
      <w:r>
        <w:rPr>
          <w:rFonts w:asciiTheme="majorBidi" w:hAnsiTheme="majorBidi" w:cstheme="majorBidi"/>
          <w:sz w:val="24"/>
          <w:szCs w:val="24"/>
        </w:rPr>
        <w:t xml:space="preserve"> </w:t>
      </w:r>
      <w:r w:rsidRPr="003C55C7">
        <w:rPr>
          <w:rFonts w:asciiTheme="majorBidi" w:hAnsiTheme="majorBidi" w:cstheme="majorBidi"/>
          <w:sz w:val="24"/>
          <w:szCs w:val="24"/>
        </w:rPr>
        <w:t xml:space="preserve">m de longueur chez la vache. L’extension </w:t>
      </w:r>
      <w:proofErr w:type="spellStart"/>
      <w:r w:rsidRPr="003C55C7">
        <w:rPr>
          <w:rFonts w:asciiTheme="majorBidi" w:hAnsiTheme="majorBidi" w:cstheme="majorBidi"/>
          <w:sz w:val="24"/>
          <w:szCs w:val="24"/>
        </w:rPr>
        <w:t>crâniale</w:t>
      </w:r>
      <w:proofErr w:type="spellEnd"/>
      <w:r w:rsidRPr="003C55C7">
        <w:rPr>
          <w:rFonts w:asciiTheme="majorBidi" w:hAnsiTheme="majorBidi" w:cstheme="majorBidi"/>
          <w:sz w:val="24"/>
          <w:szCs w:val="24"/>
        </w:rPr>
        <w:t xml:space="preserve"> de la corne gestante ne s’accompagne pas de celle des ligaments larges</w:t>
      </w:r>
      <w:r>
        <w:rPr>
          <w:rFonts w:asciiTheme="majorBidi" w:hAnsiTheme="majorBidi" w:cstheme="majorBidi"/>
          <w:sz w:val="24"/>
          <w:szCs w:val="24"/>
        </w:rPr>
        <w:t xml:space="preserve"> </w:t>
      </w:r>
      <w:r w:rsidRPr="003C55C7">
        <w:rPr>
          <w:rFonts w:asciiTheme="majorBidi" w:hAnsiTheme="majorBidi" w:cstheme="majorBidi"/>
          <w:sz w:val="24"/>
          <w:szCs w:val="24"/>
        </w:rPr>
        <w:t>qui en fin de gestation ne soutiennent plus que le tiers caudal de l’organe, laissant une importante mobilité aux deux tiers</w:t>
      </w:r>
      <w:r>
        <w:rPr>
          <w:rFonts w:asciiTheme="majorBidi" w:hAnsiTheme="majorBidi" w:cstheme="majorBidi"/>
          <w:sz w:val="24"/>
          <w:szCs w:val="24"/>
        </w:rPr>
        <w:t xml:space="preserve"> </w:t>
      </w:r>
      <w:r w:rsidRPr="003C55C7">
        <w:rPr>
          <w:rFonts w:asciiTheme="majorBidi" w:hAnsiTheme="majorBidi" w:cstheme="majorBidi"/>
          <w:sz w:val="24"/>
          <w:szCs w:val="24"/>
        </w:rPr>
        <w:t>antérieurs.</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Ces modifications de longueur sont responsables d’un déplacement différent des ovaires. Situés normalement à environ 16</w:t>
      </w:r>
      <w:r>
        <w:rPr>
          <w:rFonts w:asciiTheme="majorBidi" w:hAnsiTheme="majorBidi" w:cstheme="majorBidi"/>
          <w:sz w:val="24"/>
          <w:szCs w:val="24"/>
        </w:rPr>
        <w:t xml:space="preserve"> </w:t>
      </w:r>
      <w:r w:rsidRPr="003C55C7">
        <w:rPr>
          <w:rFonts w:asciiTheme="majorBidi" w:hAnsiTheme="majorBidi" w:cstheme="majorBidi"/>
          <w:sz w:val="24"/>
          <w:szCs w:val="24"/>
        </w:rPr>
        <w:t>cm de l’</w:t>
      </w:r>
      <w:proofErr w:type="spellStart"/>
      <w:r w:rsidRPr="003C55C7">
        <w:rPr>
          <w:rFonts w:asciiTheme="majorBidi" w:hAnsiTheme="majorBidi" w:cstheme="majorBidi"/>
          <w:sz w:val="24"/>
          <w:szCs w:val="24"/>
        </w:rPr>
        <w:t>exocol</w:t>
      </w:r>
      <w:proofErr w:type="spellEnd"/>
      <w:r w:rsidRPr="003C55C7">
        <w:rPr>
          <w:rFonts w:asciiTheme="majorBidi" w:hAnsiTheme="majorBidi" w:cstheme="majorBidi"/>
          <w:sz w:val="24"/>
          <w:szCs w:val="24"/>
        </w:rPr>
        <w:t xml:space="preserve">, leur distance par rapport à ce dernier augmente en cours de gestation. Ainsi, l’ovaire </w:t>
      </w:r>
      <w:proofErr w:type="spellStart"/>
      <w:r w:rsidRPr="003C55C7">
        <w:rPr>
          <w:rFonts w:asciiTheme="majorBidi" w:hAnsiTheme="majorBidi" w:cstheme="majorBidi"/>
          <w:sz w:val="24"/>
          <w:szCs w:val="24"/>
        </w:rPr>
        <w:t>ipsilatéral</w:t>
      </w:r>
      <w:proofErr w:type="spellEnd"/>
      <w:r w:rsidRPr="003C55C7">
        <w:rPr>
          <w:rFonts w:asciiTheme="majorBidi" w:hAnsiTheme="majorBidi" w:cstheme="majorBidi"/>
          <w:sz w:val="24"/>
          <w:szCs w:val="24"/>
        </w:rPr>
        <w:t xml:space="preserve"> à la corne</w:t>
      </w:r>
      <w:r>
        <w:rPr>
          <w:rFonts w:asciiTheme="majorBidi" w:hAnsiTheme="majorBidi" w:cstheme="majorBidi"/>
          <w:sz w:val="24"/>
          <w:szCs w:val="24"/>
        </w:rPr>
        <w:t xml:space="preserve"> </w:t>
      </w:r>
      <w:r w:rsidRPr="003C55C7">
        <w:rPr>
          <w:rFonts w:asciiTheme="majorBidi" w:hAnsiTheme="majorBidi" w:cstheme="majorBidi"/>
          <w:sz w:val="24"/>
          <w:szCs w:val="24"/>
        </w:rPr>
        <w:t xml:space="preserve">gestante peut se trouver déplacer à 39 cm environ de ce dernier et l’ovaire </w:t>
      </w:r>
      <w:proofErr w:type="spellStart"/>
      <w:r w:rsidRPr="003C55C7">
        <w:rPr>
          <w:rFonts w:asciiTheme="majorBidi" w:hAnsiTheme="majorBidi" w:cstheme="majorBidi"/>
          <w:sz w:val="24"/>
          <w:szCs w:val="24"/>
        </w:rPr>
        <w:t>contralatéral</w:t>
      </w:r>
      <w:proofErr w:type="spellEnd"/>
      <w:r w:rsidRPr="003C55C7">
        <w:rPr>
          <w:rFonts w:asciiTheme="majorBidi" w:hAnsiTheme="majorBidi" w:cstheme="majorBidi"/>
          <w:sz w:val="24"/>
          <w:szCs w:val="24"/>
        </w:rPr>
        <w:t xml:space="preserve"> à 31 cm.</w:t>
      </w:r>
    </w:p>
    <w:p w:rsidR="00F67E76" w:rsidRDefault="00F67E76" w:rsidP="002A534E">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La circonférence utérine serait de 26 cm à la fin du 1ème mois à 130 cm en fin de gestation.</w:t>
      </w: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4.4. Epaisseur de la paroi utérine</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L’épaisseur de la paroi utérine serait de 5.4 mm dans le cas d’un utérus non-gestant à 1.3 mm au niveau de la corne</w:t>
      </w:r>
      <w:r>
        <w:rPr>
          <w:rFonts w:asciiTheme="majorBidi" w:hAnsiTheme="majorBidi" w:cstheme="majorBidi"/>
          <w:sz w:val="24"/>
          <w:szCs w:val="24"/>
        </w:rPr>
        <w:t xml:space="preserve"> </w:t>
      </w:r>
      <w:r w:rsidRPr="003C55C7">
        <w:rPr>
          <w:rFonts w:asciiTheme="majorBidi" w:hAnsiTheme="majorBidi" w:cstheme="majorBidi"/>
          <w:sz w:val="24"/>
          <w:szCs w:val="24"/>
        </w:rPr>
        <w:t>gestante et 1.8 mm au niveau de la corne non-gestante. Lors de césarienne, la brusque rétraction de l’organe en</w:t>
      </w:r>
      <w:r>
        <w:rPr>
          <w:rFonts w:asciiTheme="majorBidi" w:hAnsiTheme="majorBidi" w:cstheme="majorBidi"/>
          <w:sz w:val="24"/>
          <w:szCs w:val="24"/>
        </w:rPr>
        <w:t xml:space="preserve"> </w:t>
      </w:r>
      <w:r w:rsidRPr="003C55C7">
        <w:rPr>
          <w:rFonts w:asciiTheme="majorBidi" w:hAnsiTheme="majorBidi" w:cstheme="majorBidi"/>
          <w:sz w:val="24"/>
          <w:szCs w:val="24"/>
        </w:rPr>
        <w:t>augmenterait l’épaisseur jusque 1 à 2 cm.</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p>
    <w:p w:rsidR="00073B3C" w:rsidRDefault="002A534E" w:rsidP="002A534E">
      <w:pPr>
        <w:autoSpaceDE w:val="0"/>
        <w:autoSpaceDN w:val="0"/>
        <w:adjustRightInd w:val="0"/>
        <w:spacing w:after="0" w:line="240" w:lineRule="auto"/>
        <w:ind w:left="708"/>
        <w:jc w:val="center"/>
        <w:rPr>
          <w:rFonts w:asciiTheme="majorBidi" w:hAnsiTheme="majorBidi" w:cstheme="majorBidi"/>
          <w:sz w:val="24"/>
          <w:szCs w:val="24"/>
        </w:rPr>
      </w:pPr>
      <w:r>
        <w:rPr>
          <w:rFonts w:asciiTheme="majorBidi" w:hAnsiTheme="majorBidi" w:cstheme="majorBidi"/>
          <w:noProof/>
          <w:sz w:val="24"/>
          <w:szCs w:val="24"/>
        </w:rPr>
        <w:drawing>
          <wp:inline distT="0" distB="0" distL="0" distR="0">
            <wp:extent cx="3632454" cy="3426182"/>
            <wp:effectExtent l="19050" t="0" r="6096" b="0"/>
            <wp:docPr id="5"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3632553" cy="3426275"/>
                    </a:xfrm>
                    <a:prstGeom prst="rect">
                      <a:avLst/>
                    </a:prstGeom>
                    <a:noFill/>
                    <a:ln w="9525">
                      <a:noFill/>
                      <a:miter lim="800000"/>
                      <a:headEnd/>
                      <a:tailEnd/>
                    </a:ln>
                  </pic:spPr>
                </pic:pic>
              </a:graphicData>
            </a:graphic>
          </wp:inline>
        </w:drawing>
      </w:r>
    </w:p>
    <w:p w:rsidR="00073B3C" w:rsidRPr="003C55C7" w:rsidRDefault="00073B3C"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4.5. L'utérus gestant: modifications placentaires</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Le placenta subit également de profondes modifications en cours de gestation. Le nombre total de caroncules peut varier</w:t>
      </w:r>
      <w:r>
        <w:rPr>
          <w:rFonts w:asciiTheme="majorBidi" w:hAnsiTheme="majorBidi" w:cstheme="majorBidi"/>
          <w:sz w:val="24"/>
          <w:szCs w:val="24"/>
        </w:rPr>
        <w:t xml:space="preserve"> </w:t>
      </w:r>
      <w:r w:rsidRPr="003C55C7">
        <w:rPr>
          <w:rFonts w:asciiTheme="majorBidi" w:hAnsiTheme="majorBidi" w:cstheme="majorBidi"/>
          <w:sz w:val="24"/>
          <w:szCs w:val="24"/>
        </w:rPr>
        <w:t>entre 42 et 132 avec une valeur moyenne comprise entre 70 et 110. Certains auteurs ont avancé le nombre moyen de 97 en</w:t>
      </w:r>
      <w:r>
        <w:rPr>
          <w:rFonts w:asciiTheme="majorBidi" w:hAnsiTheme="majorBidi" w:cstheme="majorBidi"/>
          <w:sz w:val="24"/>
          <w:szCs w:val="24"/>
        </w:rPr>
        <w:t xml:space="preserve"> </w:t>
      </w:r>
      <w:r w:rsidRPr="003C55C7">
        <w:rPr>
          <w:rFonts w:asciiTheme="majorBidi" w:hAnsiTheme="majorBidi" w:cstheme="majorBidi"/>
          <w:sz w:val="24"/>
          <w:szCs w:val="24"/>
        </w:rPr>
        <w:t xml:space="preserve">cas de gestation simple et de 170 en cas de gémellité. La taille des </w:t>
      </w:r>
      <w:proofErr w:type="spellStart"/>
      <w:r w:rsidRPr="003C55C7">
        <w:rPr>
          <w:rFonts w:asciiTheme="majorBidi" w:hAnsiTheme="majorBidi" w:cstheme="majorBidi"/>
          <w:sz w:val="24"/>
          <w:szCs w:val="24"/>
        </w:rPr>
        <w:t>placentomes</w:t>
      </w:r>
      <w:proofErr w:type="spellEnd"/>
      <w:r w:rsidRPr="003C55C7">
        <w:rPr>
          <w:rFonts w:asciiTheme="majorBidi" w:hAnsiTheme="majorBidi" w:cstheme="majorBidi"/>
          <w:sz w:val="24"/>
          <w:szCs w:val="24"/>
        </w:rPr>
        <w:t xml:space="preserve"> serait de 6.5x3.5x2.0 à la fin du 4ème mois</w:t>
      </w:r>
      <w:r>
        <w:rPr>
          <w:rFonts w:asciiTheme="majorBidi" w:hAnsiTheme="majorBidi" w:cstheme="majorBidi"/>
          <w:sz w:val="24"/>
          <w:szCs w:val="24"/>
        </w:rPr>
        <w:t xml:space="preserve"> </w:t>
      </w:r>
      <w:r w:rsidRPr="003C55C7">
        <w:rPr>
          <w:rFonts w:asciiTheme="majorBidi" w:hAnsiTheme="majorBidi" w:cstheme="majorBidi"/>
          <w:sz w:val="24"/>
          <w:szCs w:val="24"/>
        </w:rPr>
        <w:t>et de 14.0x6.5x4.5 à la fin du 9ème mois. Le poids moyen des caroncules serait de 300 g. Le poids des enveloppes atteint en</w:t>
      </w:r>
      <w:r>
        <w:rPr>
          <w:rFonts w:asciiTheme="majorBidi" w:hAnsiTheme="majorBidi" w:cstheme="majorBidi"/>
          <w:sz w:val="24"/>
          <w:szCs w:val="24"/>
        </w:rPr>
        <w:t xml:space="preserve"> </w:t>
      </w:r>
      <w:r w:rsidRPr="003C55C7">
        <w:rPr>
          <w:rFonts w:asciiTheme="majorBidi" w:hAnsiTheme="majorBidi" w:cstheme="majorBidi"/>
          <w:sz w:val="24"/>
          <w:szCs w:val="24"/>
        </w:rPr>
        <w:t xml:space="preserve">moyenne 4.0 </w:t>
      </w:r>
      <w:proofErr w:type="spellStart"/>
      <w:r w:rsidRPr="003C55C7">
        <w:rPr>
          <w:rFonts w:asciiTheme="majorBidi" w:hAnsiTheme="majorBidi" w:cstheme="majorBidi"/>
          <w:sz w:val="24"/>
          <w:szCs w:val="24"/>
        </w:rPr>
        <w:t>kgs</w:t>
      </w:r>
      <w:proofErr w:type="spellEnd"/>
      <w:r w:rsidRPr="003C55C7">
        <w:rPr>
          <w:rFonts w:asciiTheme="majorBidi" w:hAnsiTheme="majorBidi" w:cstheme="majorBidi"/>
          <w:sz w:val="24"/>
          <w:szCs w:val="24"/>
        </w:rPr>
        <w:t xml:space="preserve"> dans les gestations simples, 6.5 </w:t>
      </w:r>
      <w:proofErr w:type="spellStart"/>
      <w:r w:rsidRPr="003C55C7">
        <w:rPr>
          <w:rFonts w:asciiTheme="majorBidi" w:hAnsiTheme="majorBidi" w:cstheme="majorBidi"/>
          <w:sz w:val="24"/>
          <w:szCs w:val="24"/>
        </w:rPr>
        <w:t>kgs</w:t>
      </w:r>
      <w:proofErr w:type="spellEnd"/>
      <w:r w:rsidRPr="003C55C7">
        <w:rPr>
          <w:rFonts w:asciiTheme="majorBidi" w:hAnsiTheme="majorBidi" w:cstheme="majorBidi"/>
          <w:sz w:val="24"/>
          <w:szCs w:val="24"/>
        </w:rPr>
        <w:t xml:space="preserve"> dans les gestations doubles mais la variation est comprise entre 2.0</w:t>
      </w:r>
      <w:r>
        <w:rPr>
          <w:rFonts w:asciiTheme="majorBidi" w:hAnsiTheme="majorBidi" w:cstheme="majorBidi"/>
          <w:sz w:val="24"/>
          <w:szCs w:val="24"/>
        </w:rPr>
        <w:t xml:space="preserve"> </w:t>
      </w:r>
      <w:r w:rsidRPr="003C55C7">
        <w:rPr>
          <w:rFonts w:asciiTheme="majorBidi" w:hAnsiTheme="majorBidi" w:cstheme="majorBidi"/>
          <w:sz w:val="24"/>
          <w:szCs w:val="24"/>
        </w:rPr>
        <w:t xml:space="preserve">et 16.0 </w:t>
      </w:r>
      <w:proofErr w:type="spellStart"/>
      <w:r w:rsidRPr="003C55C7">
        <w:rPr>
          <w:rFonts w:asciiTheme="majorBidi" w:hAnsiTheme="majorBidi" w:cstheme="majorBidi"/>
          <w:sz w:val="24"/>
          <w:szCs w:val="24"/>
        </w:rPr>
        <w:t>kgs</w:t>
      </w:r>
      <w:proofErr w:type="spellEnd"/>
      <w:r w:rsidRPr="003C55C7">
        <w:rPr>
          <w:rFonts w:asciiTheme="majorBidi" w:hAnsiTheme="majorBidi" w:cstheme="majorBidi"/>
          <w:sz w:val="24"/>
          <w:szCs w:val="24"/>
        </w:rPr>
        <w:t xml:space="preserve">. Les annexes des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mâles seraient de 300 à 800 </w:t>
      </w:r>
      <w:r w:rsidRPr="003C55C7">
        <w:rPr>
          <w:rFonts w:asciiTheme="majorBidi" w:hAnsiTheme="majorBidi" w:cstheme="majorBidi"/>
          <w:sz w:val="24"/>
          <w:szCs w:val="24"/>
        </w:rPr>
        <w:lastRenderedPageBreak/>
        <w:t xml:space="preserve">g supérieures à celles des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de sexe femelle. Le</w:t>
      </w:r>
      <w:r>
        <w:rPr>
          <w:rFonts w:asciiTheme="majorBidi" w:hAnsiTheme="majorBidi" w:cstheme="majorBidi"/>
          <w:sz w:val="24"/>
          <w:szCs w:val="24"/>
        </w:rPr>
        <w:t xml:space="preserve"> </w:t>
      </w:r>
      <w:r w:rsidRPr="003C55C7">
        <w:rPr>
          <w:rFonts w:asciiTheme="majorBidi" w:hAnsiTheme="majorBidi" w:cstheme="majorBidi"/>
          <w:sz w:val="24"/>
          <w:szCs w:val="24"/>
        </w:rPr>
        <w:t xml:space="preserve">volume des eaux </w:t>
      </w:r>
      <w:proofErr w:type="spellStart"/>
      <w:r w:rsidRPr="003C55C7">
        <w:rPr>
          <w:rFonts w:asciiTheme="majorBidi" w:hAnsiTheme="majorBidi" w:cstheme="majorBidi"/>
          <w:sz w:val="24"/>
          <w:szCs w:val="24"/>
        </w:rPr>
        <w:t>foetales</w:t>
      </w:r>
      <w:proofErr w:type="spellEnd"/>
      <w:r w:rsidRPr="003C55C7">
        <w:rPr>
          <w:rFonts w:asciiTheme="majorBidi" w:hAnsiTheme="majorBidi" w:cstheme="majorBidi"/>
          <w:sz w:val="24"/>
          <w:szCs w:val="24"/>
        </w:rPr>
        <w:t>, amniotiques et allantoïdiennes, augmente brusquement entre le 40ème et le 65ème jour de gestation</w:t>
      </w:r>
      <w:r>
        <w:rPr>
          <w:rFonts w:asciiTheme="majorBidi" w:hAnsiTheme="majorBidi" w:cstheme="majorBidi"/>
          <w:sz w:val="24"/>
          <w:szCs w:val="24"/>
        </w:rPr>
        <w:t xml:space="preserve"> </w:t>
      </w:r>
      <w:r w:rsidRPr="003C55C7">
        <w:rPr>
          <w:rFonts w:asciiTheme="majorBidi" w:hAnsiTheme="majorBidi" w:cstheme="majorBidi"/>
          <w:sz w:val="24"/>
          <w:szCs w:val="24"/>
        </w:rPr>
        <w:t>puis entre le 3ème et le 4ème mois puis à nouveau entre le 6.5 et le 7.5ème mois. La première et la dernière augmentation est</w:t>
      </w:r>
      <w:r>
        <w:rPr>
          <w:rFonts w:asciiTheme="majorBidi" w:hAnsiTheme="majorBidi" w:cstheme="majorBidi"/>
          <w:sz w:val="24"/>
          <w:szCs w:val="24"/>
        </w:rPr>
        <w:t xml:space="preserve"> </w:t>
      </w:r>
      <w:r w:rsidRPr="003C55C7">
        <w:rPr>
          <w:rFonts w:asciiTheme="majorBidi" w:hAnsiTheme="majorBidi" w:cstheme="majorBidi"/>
          <w:sz w:val="24"/>
          <w:szCs w:val="24"/>
        </w:rPr>
        <w:t>due celle des liquides allantoïdiens, la deuxième à celle du liquide amniotique. Le volume total des liquides serait de 5 litres</w:t>
      </w:r>
      <w:r>
        <w:rPr>
          <w:rFonts w:asciiTheme="majorBidi" w:hAnsiTheme="majorBidi" w:cstheme="majorBidi"/>
          <w:sz w:val="24"/>
          <w:szCs w:val="24"/>
        </w:rPr>
        <w:t xml:space="preserve"> </w:t>
      </w:r>
      <w:r w:rsidRPr="003C55C7">
        <w:rPr>
          <w:rFonts w:asciiTheme="majorBidi" w:hAnsiTheme="majorBidi" w:cstheme="majorBidi"/>
          <w:sz w:val="24"/>
          <w:szCs w:val="24"/>
        </w:rPr>
        <w:t>à 5 mois et de 20 litres au terme de la gestation.</w:t>
      </w:r>
    </w:p>
    <w:p w:rsidR="00F67E76" w:rsidRPr="003C55C7" w:rsidRDefault="002A534E" w:rsidP="00F67E76">
      <w:pPr>
        <w:autoSpaceDE w:val="0"/>
        <w:autoSpaceDN w:val="0"/>
        <w:adjustRightInd w:val="0"/>
        <w:spacing w:after="0" w:line="240" w:lineRule="auto"/>
        <w:ind w:left="708"/>
        <w:jc w:val="both"/>
        <w:rPr>
          <w:rFonts w:asciiTheme="majorBidi" w:hAnsiTheme="majorBidi" w:cstheme="majorBidi"/>
          <w:sz w:val="24"/>
          <w:szCs w:val="24"/>
        </w:rPr>
      </w:pPr>
      <w:r>
        <w:rPr>
          <w:rFonts w:asciiTheme="majorBidi" w:hAnsiTheme="majorBidi" w:cstheme="majorBidi"/>
          <w:noProof/>
          <w:sz w:val="24"/>
          <w:szCs w:val="24"/>
        </w:rPr>
        <w:drawing>
          <wp:inline distT="0" distB="0" distL="0" distR="0">
            <wp:extent cx="5760720" cy="4332650"/>
            <wp:effectExtent l="19050" t="0" r="0" b="0"/>
            <wp:docPr id="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760720" cy="4332650"/>
                    </a:xfrm>
                    <a:prstGeom prst="rect">
                      <a:avLst/>
                    </a:prstGeom>
                    <a:noFill/>
                    <a:ln w="9525">
                      <a:noFill/>
                      <a:miter lim="800000"/>
                      <a:headEnd/>
                      <a:tailEnd/>
                    </a:ln>
                  </pic:spPr>
                </pic:pic>
              </a:graphicData>
            </a:graphic>
          </wp:inline>
        </w:drawing>
      </w:r>
    </w:p>
    <w:p w:rsidR="002A534E" w:rsidRDefault="002A534E" w:rsidP="00F67E76">
      <w:pPr>
        <w:autoSpaceDE w:val="0"/>
        <w:autoSpaceDN w:val="0"/>
        <w:adjustRightInd w:val="0"/>
        <w:spacing w:after="0" w:line="240" w:lineRule="auto"/>
        <w:ind w:firstLine="708"/>
        <w:jc w:val="both"/>
        <w:rPr>
          <w:rFonts w:asciiTheme="majorBidi" w:hAnsiTheme="majorBidi" w:cstheme="majorBidi"/>
          <w:b/>
          <w:bCs/>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4.6. L'utérus gestant : la détermination de l'âge fœtal</w:t>
      </w: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sz w:val="24"/>
          <w:szCs w:val="24"/>
        </w:rPr>
      </w:pPr>
      <w:r w:rsidRPr="003C55C7">
        <w:rPr>
          <w:rFonts w:asciiTheme="majorBidi" w:hAnsiTheme="majorBidi" w:cstheme="majorBidi"/>
          <w:sz w:val="24"/>
          <w:szCs w:val="24"/>
        </w:rPr>
        <w:t xml:space="preserve">Diverses méthodes ont été proposées pour estimer l’âge du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 xml:space="preserve">Selon la méthode dite de </w:t>
      </w:r>
      <w:proofErr w:type="spellStart"/>
      <w:r w:rsidRPr="003C55C7">
        <w:rPr>
          <w:rFonts w:asciiTheme="majorBidi" w:hAnsiTheme="majorBidi" w:cstheme="majorBidi"/>
          <w:sz w:val="24"/>
          <w:szCs w:val="24"/>
        </w:rPr>
        <w:t>Schmaltz</w:t>
      </w:r>
      <w:proofErr w:type="spellEnd"/>
      <w:r w:rsidRPr="003C55C7">
        <w:rPr>
          <w:rFonts w:asciiTheme="majorBidi" w:hAnsiTheme="majorBidi" w:cstheme="majorBidi"/>
          <w:sz w:val="24"/>
          <w:szCs w:val="24"/>
        </w:rPr>
        <w:t>, pour les 12 premiers centimètres, chaque centimètre représente une semaine d’âge.</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Pour les fœtus de taille supérieure, une semaine est ajoutée par 2.5 cm supplémentaire. Cette méthode ne semble</w:t>
      </w:r>
      <w:r>
        <w:rPr>
          <w:rFonts w:asciiTheme="majorBidi" w:hAnsiTheme="majorBidi" w:cstheme="majorBidi"/>
          <w:sz w:val="24"/>
          <w:szCs w:val="24"/>
        </w:rPr>
        <w:t xml:space="preserve"> </w:t>
      </w:r>
      <w:r w:rsidRPr="003C55C7">
        <w:rPr>
          <w:rFonts w:asciiTheme="majorBidi" w:hAnsiTheme="majorBidi" w:cstheme="majorBidi"/>
          <w:sz w:val="24"/>
          <w:szCs w:val="24"/>
        </w:rPr>
        <w:t>cependant être valable que de la 10ème à la 20ème semaine.</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Dans la formule de Keller, la taille est mesurée par la distance entre la base de la tête et la base de la queue (d). Le stade la</w:t>
      </w:r>
      <w:r>
        <w:rPr>
          <w:rFonts w:asciiTheme="majorBidi" w:hAnsiTheme="majorBidi" w:cstheme="majorBidi"/>
          <w:sz w:val="24"/>
          <w:szCs w:val="24"/>
        </w:rPr>
        <w:t xml:space="preserve"> </w:t>
      </w:r>
      <w:r w:rsidRPr="003C55C7">
        <w:rPr>
          <w:rFonts w:asciiTheme="majorBidi" w:hAnsiTheme="majorBidi" w:cstheme="majorBidi"/>
          <w:sz w:val="24"/>
          <w:szCs w:val="24"/>
        </w:rPr>
        <w:t>gestation (x exprimé en mois lunaires soit 28 jours) est déterminé au moyen de la formule suivante : d (en cm) = x (x + 2).</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Les résultats ne seraient valables qu’à partir du 2ème mois de gestation et donneraient des valeurs excessives au cours des</w:t>
      </w:r>
      <w:r>
        <w:rPr>
          <w:rFonts w:asciiTheme="majorBidi" w:hAnsiTheme="majorBidi" w:cstheme="majorBidi"/>
          <w:sz w:val="24"/>
          <w:szCs w:val="24"/>
        </w:rPr>
        <w:t xml:space="preserve"> </w:t>
      </w:r>
      <w:r w:rsidRPr="003C55C7">
        <w:rPr>
          <w:rFonts w:asciiTheme="majorBidi" w:hAnsiTheme="majorBidi" w:cstheme="majorBidi"/>
          <w:sz w:val="24"/>
          <w:szCs w:val="24"/>
        </w:rPr>
        <w:t>deux derniers mois de la gestation.</w:t>
      </w:r>
    </w:p>
    <w:p w:rsidR="00F67E76" w:rsidRDefault="00F67E76" w:rsidP="002A534E">
      <w:pPr>
        <w:autoSpaceDE w:val="0"/>
        <w:autoSpaceDN w:val="0"/>
        <w:adjustRightInd w:val="0"/>
        <w:spacing w:after="0" w:line="240" w:lineRule="auto"/>
        <w:jc w:val="both"/>
        <w:rPr>
          <w:rFonts w:asciiTheme="majorBidi" w:hAnsiTheme="majorBidi" w:cstheme="majorBidi"/>
          <w:b/>
          <w:bCs/>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4.7. L'utérus gestant : l'artère utérine</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L’artère utérine subit également d’impressionnantes modifications. Né sous la première vertèbre sacrée, le tronc de l’artère</w:t>
      </w:r>
      <w:r>
        <w:rPr>
          <w:rFonts w:asciiTheme="majorBidi" w:hAnsiTheme="majorBidi" w:cstheme="majorBidi"/>
          <w:sz w:val="24"/>
          <w:szCs w:val="24"/>
        </w:rPr>
        <w:t xml:space="preserve"> </w:t>
      </w:r>
      <w:r w:rsidRPr="003C55C7">
        <w:rPr>
          <w:rFonts w:asciiTheme="majorBidi" w:hAnsiTheme="majorBidi" w:cstheme="majorBidi"/>
          <w:sz w:val="24"/>
          <w:szCs w:val="24"/>
        </w:rPr>
        <w:t>utérine double sa longueur en fin de gestation et s’étend alors sur 50 à 60 cm. Son calibre passe de la taille d’un brin de</w:t>
      </w:r>
      <w:r>
        <w:rPr>
          <w:rFonts w:asciiTheme="majorBidi" w:hAnsiTheme="majorBidi" w:cstheme="majorBidi"/>
          <w:sz w:val="24"/>
          <w:szCs w:val="24"/>
        </w:rPr>
        <w:t xml:space="preserve"> </w:t>
      </w:r>
      <w:r w:rsidRPr="003C55C7">
        <w:rPr>
          <w:rFonts w:asciiTheme="majorBidi" w:hAnsiTheme="majorBidi" w:cstheme="majorBidi"/>
          <w:sz w:val="24"/>
          <w:szCs w:val="24"/>
        </w:rPr>
        <w:t>paille à celui d’un doigt. Les trajets de ces artères deviennent asymétriques. Du côté de la corne gestante se développe</w:t>
      </w:r>
      <w:r>
        <w:rPr>
          <w:rFonts w:asciiTheme="majorBidi" w:hAnsiTheme="majorBidi" w:cstheme="majorBidi"/>
          <w:sz w:val="24"/>
          <w:szCs w:val="24"/>
        </w:rPr>
        <w:t xml:space="preserve"> </w:t>
      </w:r>
      <w:r w:rsidRPr="003C55C7">
        <w:rPr>
          <w:rFonts w:asciiTheme="majorBidi" w:hAnsiTheme="majorBidi" w:cstheme="majorBidi"/>
          <w:sz w:val="24"/>
          <w:szCs w:val="24"/>
        </w:rPr>
        <w:t>davantage la portion vaginale de l’artère utérine. Particulièrement mobile, elle devient frémissante à partir du 4ème mois</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w:t>
      </w:r>
      <w:proofErr w:type="spellStart"/>
      <w:proofErr w:type="gramStart"/>
      <w:r w:rsidRPr="003C55C7">
        <w:rPr>
          <w:rFonts w:asciiTheme="majorBidi" w:hAnsiTheme="majorBidi" w:cstheme="majorBidi"/>
          <w:sz w:val="24"/>
          <w:szCs w:val="24"/>
        </w:rPr>
        <w:t>thrill</w:t>
      </w:r>
      <w:proofErr w:type="spellEnd"/>
      <w:proofErr w:type="gramEnd"/>
      <w:r w:rsidRPr="003C55C7">
        <w:rPr>
          <w:rFonts w:asciiTheme="majorBidi" w:hAnsiTheme="majorBidi" w:cstheme="majorBidi"/>
          <w:sz w:val="24"/>
          <w:szCs w:val="24"/>
        </w:rPr>
        <w:t xml:space="preserve">). Par ailleurs, les deux rameaux utérins primaires, </w:t>
      </w:r>
      <w:proofErr w:type="spellStart"/>
      <w:r w:rsidRPr="003C55C7">
        <w:rPr>
          <w:rFonts w:asciiTheme="majorBidi" w:hAnsiTheme="majorBidi" w:cstheme="majorBidi"/>
          <w:sz w:val="24"/>
          <w:szCs w:val="24"/>
        </w:rPr>
        <w:t>crânial</w:t>
      </w:r>
      <w:proofErr w:type="spellEnd"/>
      <w:r w:rsidRPr="003C55C7">
        <w:rPr>
          <w:rFonts w:asciiTheme="majorBidi" w:hAnsiTheme="majorBidi" w:cstheme="majorBidi"/>
          <w:sz w:val="24"/>
          <w:szCs w:val="24"/>
        </w:rPr>
        <w:t xml:space="preserve"> et caudal, résultant de la bifurcation terminale de l’artère</w:t>
      </w:r>
      <w:r>
        <w:rPr>
          <w:rFonts w:asciiTheme="majorBidi" w:hAnsiTheme="majorBidi" w:cstheme="majorBidi"/>
          <w:sz w:val="24"/>
          <w:szCs w:val="24"/>
        </w:rPr>
        <w:t xml:space="preserve"> </w:t>
      </w:r>
      <w:r w:rsidRPr="003C55C7">
        <w:rPr>
          <w:rFonts w:asciiTheme="majorBidi" w:hAnsiTheme="majorBidi" w:cstheme="majorBidi"/>
          <w:sz w:val="24"/>
          <w:szCs w:val="24"/>
        </w:rPr>
        <w:t>utérine se subdivisent en arcades anastomotiques le long de la petite courbure des cornes. Ils s’en échappent des rameaux</w:t>
      </w:r>
      <w:r>
        <w:rPr>
          <w:rFonts w:asciiTheme="majorBidi" w:hAnsiTheme="majorBidi" w:cstheme="majorBidi"/>
          <w:sz w:val="24"/>
          <w:szCs w:val="24"/>
        </w:rPr>
        <w:t xml:space="preserve"> </w:t>
      </w:r>
      <w:r w:rsidRPr="003C55C7">
        <w:rPr>
          <w:rFonts w:asciiTheme="majorBidi" w:hAnsiTheme="majorBidi" w:cstheme="majorBidi"/>
          <w:sz w:val="24"/>
          <w:szCs w:val="24"/>
        </w:rPr>
        <w:t xml:space="preserve">utérins </w:t>
      </w:r>
      <w:r w:rsidRPr="003C55C7">
        <w:rPr>
          <w:rFonts w:asciiTheme="majorBidi" w:hAnsiTheme="majorBidi" w:cstheme="majorBidi"/>
          <w:sz w:val="24"/>
          <w:szCs w:val="24"/>
        </w:rPr>
        <w:lastRenderedPageBreak/>
        <w:t>pariétaux. Ces modifications vasculaires persistent chez les animaux qui ont été gestants.</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b/>
          <w:bCs/>
          <w:sz w:val="24"/>
          <w:szCs w:val="24"/>
        </w:rPr>
      </w:pPr>
      <w:r w:rsidRPr="003C55C7">
        <w:rPr>
          <w:rFonts w:asciiTheme="majorBidi" w:hAnsiTheme="majorBidi" w:cstheme="majorBidi"/>
          <w:b/>
          <w:bCs/>
          <w:sz w:val="24"/>
          <w:szCs w:val="24"/>
        </w:rPr>
        <w:t xml:space="preserve">4.8. L'utérus gestant : le grand </w:t>
      </w:r>
      <w:proofErr w:type="spellStart"/>
      <w:r w:rsidRPr="003C55C7">
        <w:rPr>
          <w:rFonts w:asciiTheme="majorBidi" w:hAnsiTheme="majorBidi" w:cstheme="majorBidi"/>
          <w:b/>
          <w:bCs/>
          <w:sz w:val="24"/>
          <w:szCs w:val="24"/>
        </w:rPr>
        <w:t>epiploon</w:t>
      </w:r>
      <w:proofErr w:type="spellEnd"/>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Chez la vache, le grand épiploon présente une disposition particulière. Les deux lames qui le constituent restent distinctes.</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L’une s’insère sur le sillon longitudinal inférieur du rumen et l’autre dans le sillon supérieur. Elles tapissent les deux côtés du</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 xml:space="preserve">sac inférieur ou droit du </w:t>
      </w:r>
      <w:proofErr w:type="gramStart"/>
      <w:r w:rsidRPr="003C55C7">
        <w:rPr>
          <w:rFonts w:asciiTheme="majorBidi" w:hAnsiTheme="majorBidi" w:cstheme="majorBidi"/>
          <w:sz w:val="24"/>
          <w:szCs w:val="24"/>
        </w:rPr>
        <w:t>rumen ,</w:t>
      </w:r>
      <w:proofErr w:type="gramEnd"/>
      <w:r w:rsidRPr="003C55C7">
        <w:rPr>
          <w:rFonts w:asciiTheme="majorBidi" w:hAnsiTheme="majorBidi" w:cstheme="majorBidi"/>
          <w:sz w:val="24"/>
          <w:szCs w:val="24"/>
        </w:rPr>
        <w:t xml:space="preserve"> se rejoignent à son bord inférieur puis appliquées l’une à l’autre, remontent dans le flanc</w:t>
      </w:r>
      <w:r>
        <w:rPr>
          <w:rFonts w:asciiTheme="majorBidi" w:hAnsiTheme="majorBidi" w:cstheme="majorBidi"/>
          <w:sz w:val="24"/>
          <w:szCs w:val="24"/>
        </w:rPr>
        <w:t xml:space="preserve"> </w:t>
      </w:r>
      <w:r w:rsidRPr="003C55C7">
        <w:rPr>
          <w:rFonts w:asciiTheme="majorBidi" w:hAnsiTheme="majorBidi" w:cstheme="majorBidi"/>
          <w:sz w:val="24"/>
          <w:szCs w:val="24"/>
        </w:rPr>
        <w:t>droit jusqu’au niveau de la région sous-lombaire où elles s’insèrent en commun après avoir adhéré à la partie terminale du</w:t>
      </w:r>
      <w:r>
        <w:rPr>
          <w:rFonts w:asciiTheme="majorBidi" w:hAnsiTheme="majorBidi" w:cstheme="majorBidi"/>
          <w:sz w:val="24"/>
          <w:szCs w:val="24"/>
        </w:rPr>
        <w:t xml:space="preserve"> </w:t>
      </w:r>
      <w:r w:rsidRPr="003C55C7">
        <w:rPr>
          <w:rFonts w:asciiTheme="majorBidi" w:hAnsiTheme="majorBidi" w:cstheme="majorBidi"/>
          <w:sz w:val="24"/>
          <w:szCs w:val="24"/>
        </w:rPr>
        <w:t>colon. Elles délimitent ainsi une cavité pratiquement virtuelle sauf dans le flanc gauche qui renferme le sac droit du rumen.</w:t>
      </w: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Cependant ces deux lames de l’épiploon et le rumen forment un vaste sac à paroi très solide dans laquelle est logée</w:t>
      </w:r>
      <w:r>
        <w:rPr>
          <w:rFonts w:asciiTheme="majorBidi" w:hAnsiTheme="majorBidi" w:cstheme="majorBidi"/>
          <w:sz w:val="24"/>
          <w:szCs w:val="24"/>
        </w:rPr>
        <w:t xml:space="preserve"> </w:t>
      </w:r>
      <w:r w:rsidRPr="003C55C7">
        <w:rPr>
          <w:rFonts w:asciiTheme="majorBidi" w:hAnsiTheme="majorBidi" w:cstheme="majorBidi"/>
          <w:sz w:val="24"/>
          <w:szCs w:val="24"/>
        </w:rPr>
        <w:t xml:space="preserve">l’ensemble de la masse intestinale c’est la bourse </w:t>
      </w:r>
      <w:proofErr w:type="spellStart"/>
      <w:r w:rsidRPr="003C55C7">
        <w:rPr>
          <w:rFonts w:asciiTheme="majorBidi" w:hAnsiTheme="majorBidi" w:cstheme="majorBidi"/>
          <w:sz w:val="24"/>
          <w:szCs w:val="24"/>
        </w:rPr>
        <w:t>omentale</w:t>
      </w:r>
      <w:proofErr w:type="spellEnd"/>
      <w:r w:rsidRPr="003C55C7">
        <w:rPr>
          <w:rFonts w:asciiTheme="majorBidi" w:hAnsiTheme="majorBidi" w:cstheme="majorBidi"/>
          <w:sz w:val="24"/>
          <w:szCs w:val="24"/>
        </w:rPr>
        <w:t xml:space="preserve"> ou cavité supra-</w:t>
      </w:r>
      <w:proofErr w:type="spellStart"/>
      <w:proofErr w:type="gramStart"/>
      <w:r w:rsidRPr="003C55C7">
        <w:rPr>
          <w:rFonts w:asciiTheme="majorBidi" w:hAnsiTheme="majorBidi" w:cstheme="majorBidi"/>
          <w:sz w:val="24"/>
          <w:szCs w:val="24"/>
        </w:rPr>
        <w:t>omentale</w:t>
      </w:r>
      <w:proofErr w:type="spellEnd"/>
      <w:r w:rsidRPr="003C55C7">
        <w:rPr>
          <w:rFonts w:asciiTheme="majorBidi" w:hAnsiTheme="majorBidi" w:cstheme="majorBidi"/>
          <w:sz w:val="24"/>
          <w:szCs w:val="24"/>
        </w:rPr>
        <w:t xml:space="preserve"> .</w:t>
      </w:r>
      <w:proofErr w:type="gramEnd"/>
    </w:p>
    <w:p w:rsidR="002A534E" w:rsidRPr="003C55C7" w:rsidRDefault="002A534E"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jc w:val="both"/>
        <w:rPr>
          <w:rFonts w:asciiTheme="majorBidi" w:hAnsiTheme="majorBidi" w:cstheme="majorBidi"/>
          <w:b/>
          <w:bCs/>
          <w:sz w:val="24"/>
          <w:szCs w:val="24"/>
        </w:rPr>
      </w:pPr>
    </w:p>
    <w:p w:rsidR="00F67E76" w:rsidRPr="003C55C7" w:rsidRDefault="00F67E76" w:rsidP="002A534E">
      <w:pPr>
        <w:ind w:firstLine="708"/>
        <w:rPr>
          <w:rFonts w:asciiTheme="majorBidi" w:hAnsiTheme="majorBidi" w:cstheme="majorBidi"/>
          <w:b/>
          <w:bCs/>
          <w:sz w:val="24"/>
          <w:szCs w:val="24"/>
        </w:rPr>
      </w:pPr>
      <w:r w:rsidRPr="003C55C7">
        <w:rPr>
          <w:rFonts w:asciiTheme="majorBidi" w:hAnsiTheme="majorBidi" w:cstheme="majorBidi"/>
          <w:b/>
          <w:bCs/>
          <w:sz w:val="24"/>
          <w:szCs w:val="24"/>
        </w:rPr>
        <w:t xml:space="preserve">4.9. L'utérus gestant : chronologie du développement de l'utérus et du </w:t>
      </w:r>
      <w:proofErr w:type="spellStart"/>
      <w:r w:rsidRPr="003C55C7">
        <w:rPr>
          <w:rFonts w:asciiTheme="majorBidi" w:hAnsiTheme="majorBidi" w:cstheme="majorBidi"/>
          <w:b/>
          <w:bCs/>
          <w:sz w:val="24"/>
          <w:szCs w:val="24"/>
        </w:rPr>
        <w:t>foetus</w:t>
      </w:r>
      <w:proofErr w:type="spellEnd"/>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Pr>
          <w:rFonts w:asciiTheme="majorBidi" w:hAnsiTheme="majorBidi" w:cstheme="majorBidi"/>
          <w:sz w:val="24"/>
          <w:szCs w:val="24"/>
        </w:rPr>
        <w:t xml:space="preserve">- </w:t>
      </w:r>
      <w:r w:rsidRPr="002C3CE7">
        <w:rPr>
          <w:rFonts w:asciiTheme="majorBidi" w:hAnsiTheme="majorBidi" w:cstheme="majorBidi"/>
          <w:b/>
          <w:bCs/>
          <w:i/>
          <w:iCs/>
          <w:sz w:val="24"/>
          <w:szCs w:val="24"/>
        </w:rPr>
        <w:t>Vers le 35ème</w:t>
      </w:r>
      <w:r w:rsidRPr="003C55C7">
        <w:rPr>
          <w:rFonts w:asciiTheme="majorBidi" w:hAnsiTheme="majorBidi" w:cstheme="majorBidi"/>
          <w:sz w:val="24"/>
          <w:szCs w:val="24"/>
        </w:rPr>
        <w:t xml:space="preserve"> jour le diamètre de la corne utérine est compris entre 5 et 10 cm. On commence à pouvoir identifier le</w:t>
      </w:r>
      <w:r>
        <w:rPr>
          <w:rFonts w:asciiTheme="majorBidi" w:hAnsiTheme="majorBidi" w:cstheme="majorBidi"/>
          <w:sz w:val="24"/>
          <w:szCs w:val="24"/>
        </w:rPr>
        <w:t xml:space="preserve"> </w:t>
      </w:r>
      <w:r w:rsidRPr="003C55C7">
        <w:rPr>
          <w:rFonts w:asciiTheme="majorBidi" w:hAnsiTheme="majorBidi" w:cstheme="majorBidi"/>
          <w:sz w:val="24"/>
          <w:szCs w:val="24"/>
        </w:rPr>
        <w:t xml:space="preserve">glissement des membranes </w:t>
      </w:r>
      <w:proofErr w:type="spellStart"/>
      <w:r w:rsidRPr="003C55C7">
        <w:rPr>
          <w:rFonts w:asciiTheme="majorBidi" w:hAnsiTheme="majorBidi" w:cstheme="majorBidi"/>
          <w:sz w:val="24"/>
          <w:szCs w:val="24"/>
        </w:rPr>
        <w:t>foetales</w:t>
      </w:r>
      <w:proofErr w:type="spellEnd"/>
      <w:r w:rsidRPr="003C55C7">
        <w:rPr>
          <w:rFonts w:asciiTheme="majorBidi" w:hAnsiTheme="majorBidi" w:cstheme="majorBidi"/>
          <w:sz w:val="24"/>
          <w:szCs w:val="24"/>
        </w:rPr>
        <w:t xml:space="preserve"> au travers de la paroi utérine (</w:t>
      </w:r>
      <w:proofErr w:type="spellStart"/>
      <w:r w:rsidRPr="003C55C7">
        <w:rPr>
          <w:rFonts w:asciiTheme="majorBidi" w:hAnsiTheme="majorBidi" w:cstheme="majorBidi"/>
          <w:sz w:val="24"/>
          <w:szCs w:val="24"/>
        </w:rPr>
        <w:t>slipping</w:t>
      </w:r>
      <w:proofErr w:type="spellEnd"/>
      <w:r w:rsidRPr="003C55C7">
        <w:rPr>
          <w:rFonts w:asciiTheme="majorBidi" w:hAnsiTheme="majorBidi" w:cstheme="majorBidi"/>
          <w:sz w:val="24"/>
          <w:szCs w:val="24"/>
        </w:rPr>
        <w:t xml:space="preserve"> réalisé par la préhension de la corne et son</w:t>
      </w:r>
      <w:r>
        <w:rPr>
          <w:rFonts w:asciiTheme="majorBidi" w:hAnsiTheme="majorBidi" w:cstheme="majorBidi"/>
          <w:sz w:val="24"/>
          <w:szCs w:val="24"/>
        </w:rPr>
        <w:t xml:space="preserve"> </w:t>
      </w:r>
      <w:r w:rsidRPr="003C55C7">
        <w:rPr>
          <w:rFonts w:asciiTheme="majorBidi" w:hAnsiTheme="majorBidi" w:cstheme="majorBidi"/>
          <w:sz w:val="24"/>
          <w:szCs w:val="24"/>
        </w:rPr>
        <w:t>glissement entre les doigts et le pouce pour obtenir la sensation d’une « chemise au travers du veston ».</w:t>
      </w:r>
    </w:p>
    <w:p w:rsidR="00F67E76" w:rsidRPr="003C55C7" w:rsidRDefault="00F67E76" w:rsidP="00073B3C">
      <w:pPr>
        <w:autoSpaceDE w:val="0"/>
        <w:autoSpaceDN w:val="0"/>
        <w:adjustRightInd w:val="0"/>
        <w:spacing w:after="0" w:line="240" w:lineRule="auto"/>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3C55C7">
        <w:rPr>
          <w:rFonts w:asciiTheme="majorBidi" w:hAnsiTheme="majorBidi" w:cstheme="majorBidi"/>
          <w:sz w:val="24"/>
          <w:szCs w:val="24"/>
        </w:rPr>
        <w:t xml:space="preserve">- </w:t>
      </w:r>
      <w:r w:rsidRPr="002C3CE7">
        <w:rPr>
          <w:rFonts w:asciiTheme="majorBidi" w:hAnsiTheme="majorBidi" w:cstheme="majorBidi"/>
          <w:b/>
          <w:bCs/>
          <w:i/>
          <w:iCs/>
          <w:sz w:val="24"/>
          <w:szCs w:val="24"/>
        </w:rPr>
        <w:t>Au 45ème</w:t>
      </w:r>
      <w:r w:rsidRPr="003C55C7">
        <w:rPr>
          <w:rFonts w:asciiTheme="majorBidi" w:hAnsiTheme="majorBidi" w:cstheme="majorBidi"/>
          <w:sz w:val="24"/>
          <w:szCs w:val="24"/>
        </w:rPr>
        <w:t xml:space="preserve"> jour, l’asymétrie des cornes et le glissement des membranes </w:t>
      </w:r>
      <w:proofErr w:type="spellStart"/>
      <w:r w:rsidRPr="003C55C7">
        <w:rPr>
          <w:rFonts w:asciiTheme="majorBidi" w:hAnsiTheme="majorBidi" w:cstheme="majorBidi"/>
          <w:sz w:val="24"/>
          <w:szCs w:val="24"/>
        </w:rPr>
        <w:t>foetales</w:t>
      </w:r>
      <w:proofErr w:type="spellEnd"/>
      <w:r w:rsidRPr="003C55C7">
        <w:rPr>
          <w:rFonts w:asciiTheme="majorBidi" w:hAnsiTheme="majorBidi" w:cstheme="majorBidi"/>
          <w:sz w:val="24"/>
          <w:szCs w:val="24"/>
        </w:rPr>
        <w:t xml:space="preserve"> sont aisément identifiés.</w:t>
      </w: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3C55C7">
        <w:rPr>
          <w:rFonts w:asciiTheme="majorBidi" w:hAnsiTheme="majorBidi" w:cstheme="majorBidi"/>
          <w:sz w:val="24"/>
          <w:szCs w:val="24"/>
        </w:rPr>
        <w:t xml:space="preserve">- </w:t>
      </w:r>
      <w:r w:rsidRPr="002C3CE7">
        <w:rPr>
          <w:rFonts w:asciiTheme="majorBidi" w:hAnsiTheme="majorBidi" w:cstheme="majorBidi"/>
          <w:b/>
          <w:bCs/>
          <w:i/>
          <w:iCs/>
          <w:sz w:val="24"/>
          <w:szCs w:val="24"/>
        </w:rPr>
        <w:t>Au 60ème</w:t>
      </w:r>
      <w:r w:rsidRPr="003C55C7">
        <w:rPr>
          <w:rFonts w:asciiTheme="majorBidi" w:hAnsiTheme="majorBidi" w:cstheme="majorBidi"/>
          <w:sz w:val="24"/>
          <w:szCs w:val="24"/>
        </w:rPr>
        <w:t xml:space="preserve"> voire 70ème jour, l’utérus commence à basculer dans l’abdomen. La corne gestante </w:t>
      </w:r>
      <w:proofErr w:type="gramStart"/>
      <w:r w:rsidRPr="003C55C7">
        <w:rPr>
          <w:rFonts w:asciiTheme="majorBidi" w:hAnsiTheme="majorBidi" w:cstheme="majorBidi"/>
          <w:sz w:val="24"/>
          <w:szCs w:val="24"/>
        </w:rPr>
        <w:t>a</w:t>
      </w:r>
      <w:proofErr w:type="gramEnd"/>
      <w:r w:rsidRPr="003C55C7">
        <w:rPr>
          <w:rFonts w:asciiTheme="majorBidi" w:hAnsiTheme="majorBidi" w:cstheme="majorBidi"/>
          <w:sz w:val="24"/>
          <w:szCs w:val="24"/>
        </w:rPr>
        <w:t xml:space="preserve"> la forme d’une banane et sa</w:t>
      </w:r>
      <w:r>
        <w:rPr>
          <w:rFonts w:asciiTheme="majorBidi" w:hAnsiTheme="majorBidi" w:cstheme="majorBidi"/>
          <w:sz w:val="24"/>
          <w:szCs w:val="24"/>
        </w:rPr>
        <w:t xml:space="preserve"> </w:t>
      </w:r>
      <w:r w:rsidRPr="003C55C7">
        <w:rPr>
          <w:rFonts w:asciiTheme="majorBidi" w:hAnsiTheme="majorBidi" w:cstheme="majorBidi"/>
          <w:sz w:val="24"/>
          <w:szCs w:val="24"/>
        </w:rPr>
        <w:t>taille est double de la corne non-gestante. Les cotylédons commencent à être palpables. Le scrotum est identifiable sur le</w:t>
      </w:r>
      <w:r>
        <w:rPr>
          <w:rFonts w:asciiTheme="majorBidi" w:hAnsiTheme="majorBidi" w:cstheme="majorBidi"/>
          <w:sz w:val="24"/>
          <w:szCs w:val="24"/>
        </w:rPr>
        <w:t xml:space="preserve">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qui a la taille d’une souris.</w:t>
      </w: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3C55C7">
        <w:rPr>
          <w:rFonts w:asciiTheme="majorBidi" w:hAnsiTheme="majorBidi" w:cstheme="majorBidi"/>
          <w:sz w:val="24"/>
          <w:szCs w:val="24"/>
        </w:rPr>
        <w:t xml:space="preserve">- </w:t>
      </w:r>
      <w:r w:rsidRPr="002C3CE7">
        <w:rPr>
          <w:rFonts w:asciiTheme="majorBidi" w:hAnsiTheme="majorBidi" w:cstheme="majorBidi"/>
          <w:b/>
          <w:bCs/>
          <w:i/>
          <w:iCs/>
          <w:sz w:val="24"/>
          <w:szCs w:val="24"/>
        </w:rPr>
        <w:t>Au 90ème</w:t>
      </w:r>
      <w:r w:rsidRPr="003C55C7">
        <w:rPr>
          <w:rFonts w:asciiTheme="majorBidi" w:hAnsiTheme="majorBidi" w:cstheme="majorBidi"/>
          <w:sz w:val="24"/>
          <w:szCs w:val="24"/>
        </w:rPr>
        <w:t xml:space="preserve"> jour, le col est localisé sur le bord antérieur du bassin. La corne gestante </w:t>
      </w:r>
      <w:proofErr w:type="gramStart"/>
      <w:r w:rsidRPr="003C55C7">
        <w:rPr>
          <w:rFonts w:asciiTheme="majorBidi" w:hAnsiTheme="majorBidi" w:cstheme="majorBidi"/>
          <w:sz w:val="24"/>
          <w:szCs w:val="24"/>
        </w:rPr>
        <w:t>a</w:t>
      </w:r>
      <w:proofErr w:type="gramEnd"/>
      <w:r w:rsidRPr="003C55C7">
        <w:rPr>
          <w:rFonts w:asciiTheme="majorBidi" w:hAnsiTheme="majorBidi" w:cstheme="majorBidi"/>
          <w:sz w:val="24"/>
          <w:szCs w:val="24"/>
        </w:rPr>
        <w:t xml:space="preserve"> la forme d’un gant de boxe et sa taille</w:t>
      </w:r>
      <w:r>
        <w:rPr>
          <w:rFonts w:asciiTheme="majorBidi" w:hAnsiTheme="majorBidi" w:cstheme="majorBidi"/>
          <w:sz w:val="24"/>
          <w:szCs w:val="24"/>
        </w:rPr>
        <w:t xml:space="preserve"> </w:t>
      </w:r>
      <w:r w:rsidRPr="003C55C7">
        <w:rPr>
          <w:rFonts w:asciiTheme="majorBidi" w:hAnsiTheme="majorBidi" w:cstheme="majorBidi"/>
          <w:sz w:val="24"/>
          <w:szCs w:val="24"/>
        </w:rPr>
        <w:t xml:space="preserve">est comparable à celle d’un ballon de football. Le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a la taille d’un rat et sa tête celle d’une balle de ping-pong. Des</w:t>
      </w:r>
      <w:r>
        <w:rPr>
          <w:rFonts w:asciiTheme="majorBidi" w:hAnsiTheme="majorBidi" w:cstheme="majorBidi"/>
          <w:sz w:val="24"/>
          <w:szCs w:val="24"/>
        </w:rPr>
        <w:t xml:space="preserve"> </w:t>
      </w:r>
      <w:r w:rsidRPr="003C55C7">
        <w:rPr>
          <w:rFonts w:asciiTheme="majorBidi" w:hAnsiTheme="majorBidi" w:cstheme="majorBidi"/>
          <w:sz w:val="24"/>
          <w:szCs w:val="24"/>
        </w:rPr>
        <w:t xml:space="preserve">poils sont identifiables au niveau des lèvres, du menton et des paupières du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w:t>
      </w: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3C55C7">
        <w:rPr>
          <w:rFonts w:asciiTheme="majorBidi" w:hAnsiTheme="majorBidi" w:cstheme="majorBidi"/>
          <w:sz w:val="24"/>
          <w:szCs w:val="24"/>
        </w:rPr>
        <w:t xml:space="preserve">- </w:t>
      </w:r>
      <w:r w:rsidRPr="002C3CE7">
        <w:rPr>
          <w:rFonts w:asciiTheme="majorBidi" w:hAnsiTheme="majorBidi" w:cstheme="majorBidi"/>
          <w:b/>
          <w:bCs/>
          <w:i/>
          <w:iCs/>
          <w:sz w:val="24"/>
          <w:szCs w:val="24"/>
        </w:rPr>
        <w:t>Au 120ème</w:t>
      </w:r>
      <w:r w:rsidRPr="003C55C7">
        <w:rPr>
          <w:rFonts w:asciiTheme="majorBidi" w:hAnsiTheme="majorBidi" w:cstheme="majorBidi"/>
          <w:sz w:val="24"/>
          <w:szCs w:val="24"/>
        </w:rPr>
        <w:t xml:space="preserve"> jour, l’utérus a la taille d’un gros ballon de football. Le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a la taille d’un petit chat et sa tête celle d’un citron.</w:t>
      </w:r>
    </w:p>
    <w:p w:rsidR="00F67E76" w:rsidRPr="003C55C7"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3C55C7">
        <w:rPr>
          <w:rFonts w:asciiTheme="majorBidi" w:hAnsiTheme="majorBidi" w:cstheme="majorBidi"/>
          <w:sz w:val="24"/>
          <w:szCs w:val="24"/>
        </w:rPr>
        <w:t>Son flottement dans la cavité utérine est aisément perceptible par succussion de l’utérus. Les cotylédons ont une taille de</w:t>
      </w:r>
      <w:r>
        <w:rPr>
          <w:rFonts w:asciiTheme="majorBidi" w:hAnsiTheme="majorBidi" w:cstheme="majorBidi"/>
          <w:sz w:val="24"/>
          <w:szCs w:val="24"/>
        </w:rPr>
        <w:t xml:space="preserve"> </w:t>
      </w:r>
      <w:r w:rsidRPr="003C55C7">
        <w:rPr>
          <w:rFonts w:asciiTheme="majorBidi" w:hAnsiTheme="majorBidi" w:cstheme="majorBidi"/>
          <w:sz w:val="24"/>
          <w:szCs w:val="24"/>
        </w:rPr>
        <w:t xml:space="preserve">2.5 cm. Le </w:t>
      </w:r>
      <w:proofErr w:type="spellStart"/>
      <w:r w:rsidRPr="003C55C7">
        <w:rPr>
          <w:rFonts w:asciiTheme="majorBidi" w:hAnsiTheme="majorBidi" w:cstheme="majorBidi"/>
          <w:sz w:val="24"/>
          <w:szCs w:val="24"/>
        </w:rPr>
        <w:t>thrill</w:t>
      </w:r>
      <w:proofErr w:type="spellEnd"/>
      <w:r w:rsidRPr="003C55C7">
        <w:rPr>
          <w:rFonts w:asciiTheme="majorBidi" w:hAnsiTheme="majorBidi" w:cstheme="majorBidi"/>
          <w:sz w:val="24"/>
          <w:szCs w:val="24"/>
        </w:rPr>
        <w:t xml:space="preserve"> ou </w:t>
      </w:r>
      <w:proofErr w:type="spellStart"/>
      <w:r w:rsidRPr="003C55C7">
        <w:rPr>
          <w:rFonts w:asciiTheme="majorBidi" w:hAnsiTheme="majorBidi" w:cstheme="majorBidi"/>
          <w:sz w:val="24"/>
          <w:szCs w:val="24"/>
        </w:rPr>
        <w:t>fremitus</w:t>
      </w:r>
      <w:proofErr w:type="spellEnd"/>
      <w:r w:rsidRPr="003C55C7">
        <w:rPr>
          <w:rFonts w:asciiTheme="majorBidi" w:hAnsiTheme="majorBidi" w:cstheme="majorBidi"/>
          <w:sz w:val="24"/>
          <w:szCs w:val="24"/>
        </w:rPr>
        <w:t xml:space="preserve"> de l’artère utérine est aisément identifié. De fins poils sont identifiables sur les sourcils du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w:t>
      </w:r>
    </w:p>
    <w:p w:rsidR="00F67E76" w:rsidRDefault="00F67E76" w:rsidP="00F67E76">
      <w:pPr>
        <w:autoSpaceDE w:val="0"/>
        <w:autoSpaceDN w:val="0"/>
        <w:adjustRightInd w:val="0"/>
        <w:spacing w:after="0" w:line="240" w:lineRule="auto"/>
        <w:ind w:firstLine="708"/>
        <w:jc w:val="both"/>
        <w:rPr>
          <w:rFonts w:asciiTheme="majorBidi" w:hAnsiTheme="majorBidi" w:cstheme="majorBidi"/>
          <w:sz w:val="24"/>
          <w:szCs w:val="24"/>
        </w:rPr>
      </w:pPr>
      <w:r w:rsidRPr="003C55C7">
        <w:rPr>
          <w:rFonts w:asciiTheme="majorBidi" w:hAnsiTheme="majorBidi" w:cstheme="majorBidi"/>
          <w:sz w:val="24"/>
          <w:szCs w:val="24"/>
        </w:rPr>
        <w:t>Les onglons sont bien développés. L’ébauche des cornes est visible.</w:t>
      </w:r>
    </w:p>
    <w:p w:rsidR="00F67E76" w:rsidRPr="003C55C7" w:rsidRDefault="00F67E76" w:rsidP="00F67E76">
      <w:pPr>
        <w:autoSpaceDE w:val="0"/>
        <w:autoSpaceDN w:val="0"/>
        <w:adjustRightInd w:val="0"/>
        <w:spacing w:after="0" w:line="240" w:lineRule="auto"/>
        <w:ind w:firstLine="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2C3CE7">
        <w:rPr>
          <w:rFonts w:asciiTheme="majorBidi" w:hAnsiTheme="majorBidi" w:cstheme="majorBidi"/>
          <w:b/>
          <w:bCs/>
          <w:i/>
          <w:iCs/>
          <w:sz w:val="24"/>
          <w:szCs w:val="24"/>
        </w:rPr>
        <w:t>- Au 150ème</w:t>
      </w:r>
      <w:r w:rsidRPr="003C55C7">
        <w:rPr>
          <w:rFonts w:asciiTheme="majorBidi" w:hAnsiTheme="majorBidi" w:cstheme="majorBidi"/>
          <w:sz w:val="24"/>
          <w:szCs w:val="24"/>
        </w:rPr>
        <w:t xml:space="preserve"> jour, l’utérus a terminé sa descente et se retrouve sur le plancher de la cavité abdominale. Entre le 165ème et le</w:t>
      </w:r>
      <w:r>
        <w:rPr>
          <w:rFonts w:asciiTheme="majorBidi" w:hAnsiTheme="majorBidi" w:cstheme="majorBidi"/>
          <w:sz w:val="24"/>
          <w:szCs w:val="24"/>
        </w:rPr>
        <w:t xml:space="preserve"> </w:t>
      </w:r>
      <w:r w:rsidRPr="003C55C7">
        <w:rPr>
          <w:rFonts w:asciiTheme="majorBidi" w:hAnsiTheme="majorBidi" w:cstheme="majorBidi"/>
          <w:sz w:val="24"/>
          <w:szCs w:val="24"/>
        </w:rPr>
        <w:t xml:space="preserve">210ème jour de gestation, le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n’est habituellement plus palpable. Les testicules sont présents dans le scrotum. Les</w:t>
      </w:r>
      <w:r>
        <w:rPr>
          <w:rFonts w:asciiTheme="majorBidi" w:hAnsiTheme="majorBidi" w:cstheme="majorBidi"/>
          <w:sz w:val="24"/>
          <w:szCs w:val="24"/>
        </w:rPr>
        <w:t xml:space="preserve"> </w:t>
      </w:r>
      <w:r w:rsidRPr="003C55C7">
        <w:rPr>
          <w:rFonts w:asciiTheme="majorBidi" w:hAnsiTheme="majorBidi" w:cstheme="majorBidi"/>
          <w:sz w:val="24"/>
          <w:szCs w:val="24"/>
        </w:rPr>
        <w:t>ébauches des trayons sont bien identifiables. Les poils sont nettement présents sur les sourcils et les lèvres.</w:t>
      </w: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2C3CE7">
        <w:rPr>
          <w:rFonts w:asciiTheme="majorBidi" w:hAnsiTheme="majorBidi" w:cstheme="majorBidi"/>
          <w:b/>
          <w:bCs/>
          <w:i/>
          <w:iCs/>
          <w:sz w:val="24"/>
          <w:szCs w:val="24"/>
        </w:rPr>
        <w:t>- Au 180ème</w:t>
      </w:r>
      <w:r w:rsidRPr="003C55C7">
        <w:rPr>
          <w:rFonts w:asciiTheme="majorBidi" w:hAnsiTheme="majorBidi" w:cstheme="majorBidi"/>
          <w:sz w:val="24"/>
          <w:szCs w:val="24"/>
        </w:rPr>
        <w:t xml:space="preserve"> jour de gestation, des poils sont présents dans l’oreille, au bout de la queue et autour de l’ébauche des cornes.</w:t>
      </w: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r w:rsidRPr="002C3CE7">
        <w:rPr>
          <w:rFonts w:asciiTheme="majorBidi" w:hAnsiTheme="majorBidi" w:cstheme="majorBidi"/>
          <w:b/>
          <w:bCs/>
          <w:i/>
          <w:iCs/>
          <w:sz w:val="24"/>
          <w:szCs w:val="24"/>
        </w:rPr>
        <w:lastRenderedPageBreak/>
        <w:t>- Vers le 210ème</w:t>
      </w:r>
      <w:r w:rsidRPr="003C55C7">
        <w:rPr>
          <w:rFonts w:asciiTheme="majorBidi" w:hAnsiTheme="majorBidi" w:cstheme="majorBidi"/>
          <w:sz w:val="24"/>
          <w:szCs w:val="24"/>
        </w:rPr>
        <w:t xml:space="preserve"> jour de gestation, l’utérus entame sa remontée et le </w:t>
      </w:r>
      <w:proofErr w:type="spellStart"/>
      <w:r w:rsidRPr="003C55C7">
        <w:rPr>
          <w:rFonts w:asciiTheme="majorBidi" w:hAnsiTheme="majorBidi" w:cstheme="majorBidi"/>
          <w:sz w:val="24"/>
          <w:szCs w:val="24"/>
        </w:rPr>
        <w:t>foetus</w:t>
      </w:r>
      <w:proofErr w:type="spellEnd"/>
      <w:r w:rsidRPr="003C55C7">
        <w:rPr>
          <w:rFonts w:asciiTheme="majorBidi" w:hAnsiTheme="majorBidi" w:cstheme="majorBidi"/>
          <w:sz w:val="24"/>
          <w:szCs w:val="24"/>
        </w:rPr>
        <w:t xml:space="preserve"> devient de plus en plus aisément palpable. Il</w:t>
      </w:r>
      <w:r>
        <w:rPr>
          <w:rFonts w:asciiTheme="majorBidi" w:hAnsiTheme="majorBidi" w:cstheme="majorBidi"/>
          <w:sz w:val="24"/>
          <w:szCs w:val="24"/>
        </w:rPr>
        <w:t xml:space="preserve"> </w:t>
      </w:r>
      <w:r w:rsidRPr="003C55C7">
        <w:rPr>
          <w:rFonts w:asciiTheme="majorBidi" w:hAnsiTheme="majorBidi" w:cstheme="majorBidi"/>
          <w:sz w:val="24"/>
          <w:szCs w:val="24"/>
        </w:rPr>
        <w:t>présente des poils sur les métatarses, métacarpes et les extrémités des membres.</w:t>
      </w:r>
    </w:p>
    <w:p w:rsidR="00F67E76" w:rsidRPr="003C55C7" w:rsidRDefault="00F67E76" w:rsidP="00F67E76">
      <w:pPr>
        <w:autoSpaceDE w:val="0"/>
        <w:autoSpaceDN w:val="0"/>
        <w:adjustRightInd w:val="0"/>
        <w:spacing w:after="0" w:line="240" w:lineRule="auto"/>
        <w:ind w:left="708" w:firstLine="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r w:rsidRPr="002C3CE7">
        <w:rPr>
          <w:rFonts w:asciiTheme="majorBidi" w:hAnsiTheme="majorBidi" w:cstheme="majorBidi"/>
          <w:b/>
          <w:bCs/>
          <w:i/>
          <w:iCs/>
          <w:sz w:val="24"/>
          <w:szCs w:val="24"/>
        </w:rPr>
        <w:t>- Au 240ème</w:t>
      </w:r>
      <w:r w:rsidRPr="003C55C7">
        <w:rPr>
          <w:rFonts w:asciiTheme="majorBidi" w:hAnsiTheme="majorBidi" w:cstheme="majorBidi"/>
          <w:sz w:val="24"/>
          <w:szCs w:val="24"/>
        </w:rPr>
        <w:t xml:space="preserve"> jour de gestation, une fine pilosité commence à apparaître sur l’entièreté du corps. Les incisives ne sont pas</w:t>
      </w:r>
      <w:r>
        <w:rPr>
          <w:rFonts w:asciiTheme="majorBidi" w:hAnsiTheme="majorBidi" w:cstheme="majorBidi"/>
          <w:sz w:val="24"/>
          <w:szCs w:val="24"/>
        </w:rPr>
        <w:t xml:space="preserve"> </w:t>
      </w:r>
      <w:r w:rsidRPr="003C55C7">
        <w:rPr>
          <w:rFonts w:asciiTheme="majorBidi" w:hAnsiTheme="majorBidi" w:cstheme="majorBidi"/>
          <w:sz w:val="24"/>
          <w:szCs w:val="24"/>
        </w:rPr>
        <w:t>encore sorties.</w:t>
      </w:r>
    </w:p>
    <w:p w:rsidR="00073B3C" w:rsidRDefault="00073B3C"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Default="00F67E76" w:rsidP="00F67E76">
      <w:pPr>
        <w:autoSpaceDE w:val="0"/>
        <w:autoSpaceDN w:val="0"/>
        <w:adjustRightInd w:val="0"/>
        <w:spacing w:after="0" w:line="240" w:lineRule="auto"/>
        <w:ind w:left="708"/>
        <w:jc w:val="both"/>
        <w:rPr>
          <w:rFonts w:asciiTheme="majorBidi" w:hAnsiTheme="majorBidi" w:cstheme="majorBidi"/>
          <w:sz w:val="24"/>
          <w:szCs w:val="24"/>
        </w:rPr>
      </w:pPr>
    </w:p>
    <w:p w:rsidR="00F67E76" w:rsidRPr="00183581" w:rsidRDefault="00F67E76" w:rsidP="00F67E76">
      <w:pPr>
        <w:spacing w:after="0" w:line="240" w:lineRule="auto"/>
        <w:jc w:val="center"/>
        <w:rPr>
          <w:rFonts w:asciiTheme="majorBidi" w:hAnsiTheme="majorBidi" w:cstheme="majorBidi"/>
          <w:b/>
          <w:bCs/>
          <w:sz w:val="28"/>
          <w:szCs w:val="28"/>
        </w:rPr>
      </w:pPr>
      <w:r w:rsidRPr="00183581">
        <w:rPr>
          <w:rFonts w:asciiTheme="majorBidi" w:hAnsiTheme="majorBidi" w:cstheme="majorBidi"/>
          <w:b/>
          <w:bCs/>
          <w:sz w:val="28"/>
          <w:szCs w:val="28"/>
        </w:rPr>
        <w:t>Questions de contrôle</w:t>
      </w:r>
    </w:p>
    <w:p w:rsidR="00F67E76" w:rsidRPr="0034057E" w:rsidRDefault="00F67E76" w:rsidP="00F67E76">
      <w:pPr>
        <w:spacing w:after="0" w:line="240" w:lineRule="auto"/>
        <w:rPr>
          <w:rFonts w:asciiTheme="majorBidi" w:hAnsiTheme="majorBidi" w:cstheme="majorBidi"/>
          <w:b/>
          <w:bCs/>
          <w:sz w:val="24"/>
          <w:szCs w:val="24"/>
        </w:rPr>
      </w:pPr>
    </w:p>
    <w:p w:rsidR="00F67E76" w:rsidRPr="00A61E66" w:rsidRDefault="00F67E76" w:rsidP="00F67E76">
      <w:pPr>
        <w:spacing w:after="0" w:line="240" w:lineRule="auto"/>
        <w:rPr>
          <w:rFonts w:asciiTheme="majorBidi" w:hAnsiTheme="majorBidi" w:cstheme="majorBidi"/>
          <w:b/>
          <w:bCs/>
          <w:sz w:val="20"/>
          <w:szCs w:val="20"/>
        </w:rPr>
      </w:pPr>
      <w:r>
        <w:rPr>
          <w:rFonts w:asciiTheme="majorBidi" w:hAnsiTheme="majorBidi" w:cstheme="majorBidi"/>
          <w:b/>
          <w:bCs/>
          <w:sz w:val="20"/>
          <w:szCs w:val="20"/>
        </w:rPr>
        <w:t xml:space="preserve">A- </w:t>
      </w:r>
      <w:r w:rsidRPr="00A61E66">
        <w:rPr>
          <w:rFonts w:asciiTheme="majorBidi" w:hAnsiTheme="majorBidi" w:cstheme="majorBidi"/>
          <w:b/>
          <w:bCs/>
          <w:sz w:val="20"/>
          <w:szCs w:val="20"/>
        </w:rPr>
        <w:t>Choisissez la bonne réponse</w:t>
      </w: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1- </w:t>
      </w:r>
      <w:r w:rsidRPr="00A61E66">
        <w:rPr>
          <w:rFonts w:asciiTheme="majorBidi" w:hAnsiTheme="majorBidi" w:cstheme="majorBidi"/>
          <w:b/>
          <w:bCs/>
          <w:sz w:val="20"/>
          <w:szCs w:val="20"/>
        </w:rPr>
        <w:tab/>
        <w:t>Les caract</w:t>
      </w:r>
      <w:r>
        <w:rPr>
          <w:rFonts w:asciiTheme="majorBidi" w:hAnsiTheme="majorBidi" w:cstheme="majorBidi"/>
          <w:b/>
          <w:bCs/>
          <w:sz w:val="20"/>
          <w:szCs w:val="20"/>
        </w:rPr>
        <w:t>ères sexuels secondaires chez le male</w:t>
      </w:r>
      <w:r w:rsidRPr="00A61E66">
        <w:rPr>
          <w:rFonts w:asciiTheme="majorBidi" w:hAnsiTheme="majorBidi" w:cstheme="majorBidi"/>
          <w:b/>
          <w:bCs/>
          <w:sz w:val="20"/>
          <w:szCs w:val="20"/>
        </w:rPr>
        <w:t xml:space="preserve"> sont principalement dus</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toutes ces réponses sont bonnes </w:t>
      </w:r>
      <w:r w:rsidRPr="00A61E66">
        <w:rPr>
          <w:rFonts w:asciiTheme="majorBidi" w:hAnsiTheme="majorBidi" w:cstheme="majorBidi"/>
          <w:sz w:val="20"/>
          <w:szCs w:val="20"/>
        </w:rPr>
        <w:tab/>
      </w:r>
      <w:r w:rsidRPr="00A61E66">
        <w:rPr>
          <w:rFonts w:asciiTheme="majorBidi" w:hAnsiTheme="majorBidi" w:cstheme="majorBidi"/>
          <w:sz w:val="20"/>
          <w:szCs w:val="20"/>
        </w:rPr>
        <w:tab/>
        <w:t>B.</w:t>
      </w:r>
      <w:r w:rsidRPr="00A61E66">
        <w:rPr>
          <w:rFonts w:asciiTheme="majorBidi" w:hAnsiTheme="majorBidi" w:cstheme="majorBidi"/>
          <w:sz w:val="20"/>
          <w:szCs w:val="20"/>
        </w:rPr>
        <w:tab/>
        <w:t xml:space="preserve">à la prostate </w:t>
      </w:r>
      <w:r w:rsidRPr="00A61E66">
        <w:rPr>
          <w:rFonts w:asciiTheme="majorBidi" w:hAnsiTheme="majorBidi" w:cstheme="majorBidi"/>
          <w:sz w:val="20"/>
          <w:szCs w:val="20"/>
        </w:rPr>
        <w:tab/>
      </w:r>
      <w:r w:rsidRPr="00A61E66">
        <w:rPr>
          <w:rFonts w:asciiTheme="majorBidi" w:hAnsiTheme="majorBidi" w:cstheme="majorBidi"/>
          <w:sz w:val="20"/>
          <w:szCs w:val="20"/>
        </w:rPr>
        <w:tab/>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C.</w:t>
      </w:r>
      <w:r w:rsidRPr="00A61E66">
        <w:rPr>
          <w:rFonts w:asciiTheme="majorBidi" w:hAnsiTheme="majorBidi" w:cstheme="majorBidi"/>
          <w:sz w:val="20"/>
          <w:szCs w:val="20"/>
        </w:rPr>
        <w:tab/>
      </w:r>
      <w:r w:rsidRPr="00A61E66">
        <w:rPr>
          <w:rFonts w:asciiTheme="majorBidi" w:hAnsiTheme="majorBidi" w:cstheme="majorBidi"/>
          <w:b/>
          <w:bCs/>
          <w:sz w:val="20"/>
          <w:szCs w:val="20"/>
        </w:rPr>
        <w:t>à la testostérone</w:t>
      </w:r>
      <w:r w:rsidRPr="00A61E66">
        <w:rPr>
          <w:rFonts w:asciiTheme="majorBidi" w:hAnsiTheme="majorBidi" w:cstheme="majorBidi"/>
          <w:sz w:val="20"/>
          <w:szCs w:val="20"/>
        </w:rPr>
        <w:tab/>
      </w:r>
      <w:r w:rsidRPr="00A61E66">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sidRPr="00A61E66">
        <w:rPr>
          <w:rFonts w:asciiTheme="majorBidi" w:hAnsiTheme="majorBidi" w:cstheme="majorBidi"/>
          <w:sz w:val="20"/>
          <w:szCs w:val="20"/>
        </w:rPr>
        <w:t>D.</w:t>
      </w:r>
      <w:r w:rsidRPr="00A61E66">
        <w:rPr>
          <w:rFonts w:asciiTheme="majorBidi" w:hAnsiTheme="majorBidi" w:cstheme="majorBidi"/>
          <w:sz w:val="20"/>
          <w:szCs w:val="20"/>
        </w:rPr>
        <w:tab/>
        <w:t>aux vésicules séminales</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E.</w:t>
      </w:r>
      <w:r w:rsidRPr="00A61E66">
        <w:rPr>
          <w:rFonts w:asciiTheme="majorBidi" w:hAnsiTheme="majorBidi" w:cstheme="majorBidi"/>
          <w:sz w:val="20"/>
          <w:szCs w:val="20"/>
        </w:rPr>
        <w:tab/>
        <w:t>aux spermatozoïdes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2- </w:t>
      </w:r>
      <w:r w:rsidRPr="00A61E66">
        <w:rPr>
          <w:rFonts w:asciiTheme="majorBidi" w:hAnsiTheme="majorBidi" w:cstheme="majorBidi"/>
          <w:b/>
          <w:bCs/>
          <w:sz w:val="20"/>
          <w:szCs w:val="20"/>
        </w:rPr>
        <w:tab/>
        <w:t>Cette glande produit un liquide qui neutraliserait l'acidité des traces d'urine encore présentes dans l'urètre</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prostate </w:t>
      </w:r>
      <w:r w:rsidRPr="00A61E66">
        <w:rPr>
          <w:rFonts w:asciiTheme="majorBidi" w:hAnsiTheme="majorBidi" w:cstheme="majorBidi"/>
          <w:sz w:val="20"/>
          <w:szCs w:val="20"/>
        </w:rPr>
        <w:tab/>
      </w:r>
      <w:r w:rsidRPr="00A61E66">
        <w:rPr>
          <w:rFonts w:asciiTheme="majorBidi" w:hAnsiTheme="majorBidi" w:cstheme="majorBidi"/>
          <w:sz w:val="20"/>
          <w:szCs w:val="20"/>
        </w:rPr>
        <w:tab/>
      </w:r>
      <w:r>
        <w:rPr>
          <w:rFonts w:asciiTheme="majorBidi" w:hAnsiTheme="majorBidi" w:cstheme="majorBidi"/>
          <w:sz w:val="20"/>
          <w:szCs w:val="20"/>
        </w:rPr>
        <w:tab/>
      </w:r>
      <w:r w:rsidRPr="00A61E66">
        <w:rPr>
          <w:rFonts w:asciiTheme="majorBidi" w:hAnsiTheme="majorBidi" w:cstheme="majorBidi"/>
          <w:sz w:val="20"/>
          <w:szCs w:val="20"/>
        </w:rPr>
        <w:t>B.</w:t>
      </w:r>
      <w:r w:rsidRPr="00A61E66">
        <w:rPr>
          <w:rFonts w:asciiTheme="majorBidi" w:hAnsiTheme="majorBidi" w:cstheme="majorBidi"/>
          <w:sz w:val="20"/>
          <w:szCs w:val="20"/>
        </w:rPr>
        <w:tab/>
        <w:t xml:space="preserve">glande de Bartholin </w:t>
      </w:r>
      <w:r w:rsidRPr="00A61E66">
        <w:rPr>
          <w:rFonts w:asciiTheme="majorBidi" w:hAnsiTheme="majorBidi" w:cstheme="majorBidi"/>
          <w:sz w:val="20"/>
          <w:szCs w:val="20"/>
        </w:rPr>
        <w:tab/>
        <w:t>C.</w:t>
      </w:r>
      <w:r w:rsidRPr="00A61E66">
        <w:rPr>
          <w:rFonts w:asciiTheme="majorBidi" w:hAnsiTheme="majorBidi" w:cstheme="majorBidi"/>
          <w:sz w:val="20"/>
          <w:szCs w:val="20"/>
        </w:rPr>
        <w:tab/>
        <w:t xml:space="preserve">testicules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D.</w:t>
      </w:r>
      <w:r w:rsidRPr="00A61E66">
        <w:rPr>
          <w:rFonts w:asciiTheme="majorBidi" w:hAnsiTheme="majorBidi" w:cstheme="majorBidi"/>
          <w:sz w:val="20"/>
          <w:szCs w:val="20"/>
        </w:rPr>
        <w:tab/>
      </w:r>
      <w:r w:rsidRPr="00A61E66">
        <w:rPr>
          <w:rFonts w:asciiTheme="majorBidi" w:hAnsiTheme="majorBidi" w:cstheme="majorBidi"/>
          <w:b/>
          <w:bCs/>
          <w:sz w:val="20"/>
          <w:szCs w:val="20"/>
        </w:rPr>
        <w:t>glande de Cowper</w:t>
      </w:r>
      <w:r>
        <w:rPr>
          <w:rFonts w:asciiTheme="majorBidi" w:hAnsiTheme="majorBidi" w:cstheme="majorBidi"/>
          <w:sz w:val="20"/>
          <w:szCs w:val="20"/>
        </w:rPr>
        <w:t xml:space="preserve"> </w:t>
      </w:r>
      <w:r>
        <w:rPr>
          <w:rFonts w:asciiTheme="majorBidi" w:hAnsiTheme="majorBidi" w:cstheme="majorBidi"/>
          <w:sz w:val="20"/>
          <w:szCs w:val="20"/>
        </w:rPr>
        <w:tab/>
      </w:r>
      <w:r w:rsidRPr="00A61E66">
        <w:rPr>
          <w:rFonts w:asciiTheme="majorBidi" w:hAnsiTheme="majorBidi" w:cstheme="majorBidi"/>
          <w:sz w:val="20"/>
          <w:szCs w:val="20"/>
        </w:rPr>
        <w:t>E.</w:t>
      </w:r>
      <w:r w:rsidRPr="00A61E66">
        <w:rPr>
          <w:rFonts w:asciiTheme="majorBidi" w:hAnsiTheme="majorBidi" w:cstheme="majorBidi"/>
          <w:sz w:val="20"/>
          <w:szCs w:val="20"/>
        </w:rPr>
        <w:tab/>
        <w:t>vésicules séminales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3- </w:t>
      </w:r>
      <w:r w:rsidRPr="00A61E66">
        <w:rPr>
          <w:rFonts w:asciiTheme="majorBidi" w:hAnsiTheme="majorBidi" w:cstheme="majorBidi"/>
          <w:b/>
          <w:bCs/>
          <w:sz w:val="20"/>
          <w:szCs w:val="20"/>
        </w:rPr>
        <w:tab/>
        <w:t>Les gonades ou glandes sexuelles ont plusieurs fonctions? Parmi les fonctions énumérées ci-dessous, laquelle est fausse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les testicules produisent les spermatozoïdes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B.</w:t>
      </w:r>
      <w:r w:rsidRPr="00A61E66">
        <w:rPr>
          <w:rFonts w:asciiTheme="majorBidi" w:hAnsiTheme="majorBidi" w:cstheme="majorBidi"/>
          <w:sz w:val="20"/>
          <w:szCs w:val="20"/>
        </w:rPr>
        <w:tab/>
        <w:t xml:space="preserve">un ovule immature est appelé ovocyte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C.</w:t>
      </w:r>
      <w:r w:rsidRPr="00A61E66">
        <w:rPr>
          <w:rFonts w:asciiTheme="majorBidi" w:hAnsiTheme="majorBidi" w:cstheme="majorBidi"/>
          <w:sz w:val="20"/>
          <w:szCs w:val="20"/>
        </w:rPr>
        <w:tab/>
        <w:t xml:space="preserve">les testicules sécrétant la testostérone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D.</w:t>
      </w:r>
      <w:r w:rsidRPr="00A61E66">
        <w:rPr>
          <w:rFonts w:asciiTheme="majorBidi" w:hAnsiTheme="majorBidi" w:cstheme="majorBidi"/>
          <w:sz w:val="20"/>
          <w:szCs w:val="20"/>
        </w:rPr>
        <w:tab/>
        <w:t xml:space="preserve">le milieu vaginal est acide </w:t>
      </w:r>
    </w:p>
    <w:p w:rsidR="00F67E76" w:rsidRPr="00A61E66" w:rsidRDefault="00F67E76" w:rsidP="00F67E76">
      <w:pPr>
        <w:spacing w:after="0" w:line="240" w:lineRule="auto"/>
        <w:ind w:firstLine="708"/>
        <w:rPr>
          <w:rFonts w:asciiTheme="majorBidi" w:hAnsiTheme="majorBidi" w:cstheme="majorBidi"/>
          <w:b/>
          <w:bCs/>
          <w:sz w:val="20"/>
          <w:szCs w:val="20"/>
        </w:rPr>
      </w:pPr>
      <w:r w:rsidRPr="00A61E66">
        <w:rPr>
          <w:rFonts w:asciiTheme="majorBidi" w:hAnsiTheme="majorBidi" w:cstheme="majorBidi"/>
          <w:b/>
          <w:bCs/>
          <w:sz w:val="20"/>
          <w:szCs w:val="20"/>
        </w:rPr>
        <w:t>E.</w:t>
      </w:r>
      <w:r w:rsidRPr="00A61E66">
        <w:rPr>
          <w:rFonts w:asciiTheme="majorBidi" w:hAnsiTheme="majorBidi" w:cstheme="majorBidi"/>
          <w:b/>
          <w:bCs/>
          <w:sz w:val="20"/>
          <w:szCs w:val="20"/>
        </w:rPr>
        <w:tab/>
        <w:t xml:space="preserve">les </w:t>
      </w:r>
      <w:proofErr w:type="spellStart"/>
      <w:r w:rsidRPr="00A61E66">
        <w:rPr>
          <w:rFonts w:asciiTheme="majorBidi" w:hAnsiTheme="majorBidi" w:cstheme="majorBidi"/>
          <w:b/>
          <w:bCs/>
          <w:sz w:val="20"/>
          <w:szCs w:val="20"/>
        </w:rPr>
        <w:t>oestrogènes</w:t>
      </w:r>
      <w:proofErr w:type="spellEnd"/>
      <w:r w:rsidRPr="00A61E66">
        <w:rPr>
          <w:rFonts w:asciiTheme="majorBidi" w:hAnsiTheme="majorBidi" w:cstheme="majorBidi"/>
          <w:b/>
          <w:bCs/>
          <w:sz w:val="20"/>
          <w:szCs w:val="20"/>
        </w:rPr>
        <w:t xml:space="preserve"> sont responsables de l'apparition des caractères sexuels mâles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4- </w:t>
      </w:r>
      <w:r w:rsidRPr="00A61E66">
        <w:rPr>
          <w:rFonts w:asciiTheme="majorBidi" w:hAnsiTheme="majorBidi" w:cstheme="majorBidi"/>
          <w:b/>
          <w:bCs/>
          <w:sz w:val="20"/>
          <w:szCs w:val="20"/>
        </w:rPr>
        <w:tab/>
        <w:t>Comment s'appelle une cellule destinée à la reproduction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une gonade </w:t>
      </w:r>
      <w:r w:rsidRPr="00A61E66">
        <w:rPr>
          <w:rFonts w:asciiTheme="majorBidi" w:hAnsiTheme="majorBidi" w:cstheme="majorBidi"/>
          <w:sz w:val="20"/>
          <w:szCs w:val="20"/>
        </w:rPr>
        <w:tab/>
      </w:r>
      <w:r w:rsidRPr="00A61E66">
        <w:rPr>
          <w:rFonts w:asciiTheme="majorBidi" w:hAnsiTheme="majorBidi" w:cstheme="majorBidi"/>
          <w:sz w:val="20"/>
          <w:szCs w:val="20"/>
        </w:rPr>
        <w:tab/>
        <w:t>B.</w:t>
      </w:r>
      <w:r w:rsidRPr="00A61E66">
        <w:rPr>
          <w:rFonts w:asciiTheme="majorBidi" w:hAnsiTheme="majorBidi" w:cstheme="majorBidi"/>
          <w:sz w:val="20"/>
          <w:szCs w:val="20"/>
        </w:rPr>
        <w:tab/>
      </w:r>
      <w:r w:rsidRPr="00A61E66">
        <w:rPr>
          <w:rFonts w:asciiTheme="majorBidi" w:hAnsiTheme="majorBidi" w:cstheme="majorBidi"/>
          <w:b/>
          <w:bCs/>
          <w:sz w:val="20"/>
          <w:szCs w:val="20"/>
        </w:rPr>
        <w:t>un gamète</w:t>
      </w:r>
      <w:r w:rsidRPr="00A61E66">
        <w:rPr>
          <w:rFonts w:asciiTheme="majorBidi" w:hAnsiTheme="majorBidi" w:cstheme="majorBidi"/>
          <w:sz w:val="20"/>
          <w:szCs w:val="20"/>
        </w:rPr>
        <w:t xml:space="preserve"> </w:t>
      </w:r>
      <w:r w:rsidRPr="00A61E66">
        <w:rPr>
          <w:rFonts w:asciiTheme="majorBidi" w:hAnsiTheme="majorBidi" w:cstheme="majorBidi"/>
          <w:sz w:val="20"/>
          <w:szCs w:val="20"/>
        </w:rPr>
        <w:tab/>
      </w:r>
      <w:r w:rsidRPr="00A61E66">
        <w:rPr>
          <w:rFonts w:asciiTheme="majorBidi" w:hAnsiTheme="majorBidi" w:cstheme="majorBidi"/>
          <w:sz w:val="20"/>
          <w:szCs w:val="20"/>
        </w:rPr>
        <w:tab/>
        <w:t>C.</w:t>
      </w:r>
      <w:r w:rsidRPr="00A61E66">
        <w:rPr>
          <w:rFonts w:asciiTheme="majorBidi" w:hAnsiTheme="majorBidi" w:cstheme="majorBidi"/>
          <w:sz w:val="20"/>
          <w:szCs w:val="20"/>
        </w:rPr>
        <w:tab/>
        <w:t xml:space="preserve">un zygote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D.</w:t>
      </w:r>
      <w:r w:rsidRPr="00A61E66">
        <w:rPr>
          <w:rFonts w:asciiTheme="majorBidi" w:hAnsiTheme="majorBidi" w:cstheme="majorBidi"/>
          <w:sz w:val="20"/>
          <w:szCs w:val="20"/>
        </w:rPr>
        <w:tab/>
        <w:t>un homologue</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5- </w:t>
      </w:r>
      <w:r w:rsidRPr="00A61E66">
        <w:rPr>
          <w:rFonts w:asciiTheme="majorBidi" w:hAnsiTheme="majorBidi" w:cstheme="majorBidi"/>
          <w:b/>
          <w:bCs/>
          <w:sz w:val="20"/>
          <w:szCs w:val="20"/>
        </w:rPr>
        <w:tab/>
        <w:t>L'appareil génital de la brebis se compose essentiellement des parties suivantes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reins, ovaires, oviductes, utérus, vagin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B.</w:t>
      </w:r>
      <w:r w:rsidRPr="00A61E66">
        <w:rPr>
          <w:rFonts w:asciiTheme="majorBidi" w:hAnsiTheme="majorBidi" w:cstheme="majorBidi"/>
          <w:sz w:val="20"/>
          <w:szCs w:val="20"/>
        </w:rPr>
        <w:tab/>
        <w:t xml:space="preserve">reins, uretères, urètre, utérus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C.</w:t>
      </w:r>
      <w:r w:rsidRPr="00A61E66">
        <w:rPr>
          <w:rFonts w:asciiTheme="majorBidi" w:hAnsiTheme="majorBidi" w:cstheme="majorBidi"/>
          <w:sz w:val="20"/>
          <w:szCs w:val="20"/>
        </w:rPr>
        <w:tab/>
        <w:t xml:space="preserve">ovaires, oviductes, vessie, utérus, vagin </w:t>
      </w:r>
    </w:p>
    <w:p w:rsidR="00F67E76" w:rsidRPr="00A61E66" w:rsidRDefault="00F67E76" w:rsidP="00F67E76">
      <w:pPr>
        <w:spacing w:after="0" w:line="240" w:lineRule="auto"/>
        <w:ind w:firstLine="708"/>
        <w:rPr>
          <w:rFonts w:asciiTheme="majorBidi" w:hAnsiTheme="majorBidi" w:cstheme="majorBidi"/>
          <w:b/>
          <w:bCs/>
          <w:sz w:val="20"/>
          <w:szCs w:val="20"/>
        </w:rPr>
      </w:pPr>
      <w:r w:rsidRPr="00A61E66">
        <w:rPr>
          <w:rFonts w:asciiTheme="majorBidi" w:hAnsiTheme="majorBidi" w:cstheme="majorBidi"/>
          <w:b/>
          <w:bCs/>
          <w:sz w:val="20"/>
          <w:szCs w:val="20"/>
        </w:rPr>
        <w:t>D.</w:t>
      </w:r>
      <w:r w:rsidRPr="00A61E66">
        <w:rPr>
          <w:rFonts w:asciiTheme="majorBidi" w:hAnsiTheme="majorBidi" w:cstheme="majorBidi"/>
          <w:b/>
          <w:bCs/>
          <w:sz w:val="20"/>
          <w:szCs w:val="20"/>
        </w:rPr>
        <w:tab/>
        <w:t xml:space="preserve">ovaires, trompe de Fallope oviductes, utérus, col de l’utérus, vagin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E.</w:t>
      </w:r>
      <w:r w:rsidRPr="00A61E66">
        <w:rPr>
          <w:rFonts w:asciiTheme="majorBidi" w:hAnsiTheme="majorBidi" w:cstheme="majorBidi"/>
          <w:sz w:val="20"/>
          <w:szCs w:val="20"/>
        </w:rPr>
        <w:tab/>
        <w:t>ovaires, oviductes, urètre, uretères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6- </w:t>
      </w:r>
      <w:r w:rsidRPr="00A61E66">
        <w:rPr>
          <w:rFonts w:asciiTheme="majorBidi" w:hAnsiTheme="majorBidi" w:cstheme="majorBidi"/>
          <w:b/>
          <w:bCs/>
          <w:sz w:val="20"/>
          <w:szCs w:val="20"/>
        </w:rPr>
        <w:tab/>
        <w:t>Nous servons à humidifier la vulve</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prostate </w:t>
      </w:r>
      <w:r w:rsidRPr="00A61E66">
        <w:rPr>
          <w:rFonts w:asciiTheme="majorBidi" w:hAnsiTheme="majorBidi" w:cstheme="majorBidi"/>
          <w:sz w:val="20"/>
          <w:szCs w:val="20"/>
        </w:rPr>
        <w:tab/>
        <w:t>B.</w:t>
      </w:r>
      <w:r w:rsidRPr="00A61E66">
        <w:rPr>
          <w:rFonts w:asciiTheme="majorBidi" w:hAnsiTheme="majorBidi" w:cstheme="majorBidi"/>
          <w:sz w:val="20"/>
          <w:szCs w:val="20"/>
        </w:rPr>
        <w:tab/>
        <w:t xml:space="preserve">glandes de Cowper </w:t>
      </w:r>
      <w:r w:rsidRPr="00A61E66">
        <w:rPr>
          <w:rFonts w:asciiTheme="majorBidi" w:hAnsiTheme="majorBidi" w:cstheme="majorBidi"/>
          <w:sz w:val="20"/>
          <w:szCs w:val="20"/>
        </w:rPr>
        <w:tab/>
        <w:t>C.</w:t>
      </w:r>
      <w:r w:rsidRPr="00A61E66">
        <w:rPr>
          <w:rFonts w:asciiTheme="majorBidi" w:hAnsiTheme="majorBidi" w:cstheme="majorBidi"/>
          <w:sz w:val="20"/>
          <w:szCs w:val="20"/>
        </w:rPr>
        <w:tab/>
        <w:t xml:space="preserve">vésicules séminales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D.</w:t>
      </w:r>
      <w:r w:rsidRPr="00A61E66">
        <w:rPr>
          <w:rFonts w:asciiTheme="majorBidi" w:hAnsiTheme="majorBidi" w:cstheme="majorBidi"/>
          <w:sz w:val="20"/>
          <w:szCs w:val="20"/>
        </w:rPr>
        <w:tab/>
        <w:t xml:space="preserve">ovaires </w:t>
      </w:r>
      <w:r w:rsidRPr="00A61E66">
        <w:rPr>
          <w:rFonts w:asciiTheme="majorBidi" w:hAnsiTheme="majorBidi" w:cstheme="majorBidi"/>
          <w:sz w:val="20"/>
          <w:szCs w:val="20"/>
        </w:rPr>
        <w:tab/>
        <w:t>E.</w:t>
      </w:r>
      <w:r w:rsidRPr="00A61E66">
        <w:rPr>
          <w:rFonts w:asciiTheme="majorBidi" w:hAnsiTheme="majorBidi" w:cstheme="majorBidi"/>
          <w:sz w:val="20"/>
          <w:szCs w:val="20"/>
        </w:rPr>
        <w:tab/>
      </w:r>
      <w:r w:rsidRPr="00A61E66">
        <w:rPr>
          <w:rFonts w:asciiTheme="majorBidi" w:hAnsiTheme="majorBidi" w:cstheme="majorBidi"/>
          <w:b/>
          <w:bCs/>
          <w:sz w:val="20"/>
          <w:szCs w:val="20"/>
        </w:rPr>
        <w:t>glandes de Bartholin</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7- </w:t>
      </w:r>
      <w:r w:rsidRPr="00A61E66">
        <w:rPr>
          <w:rFonts w:asciiTheme="majorBidi" w:hAnsiTheme="majorBidi" w:cstheme="majorBidi"/>
          <w:b/>
          <w:bCs/>
          <w:sz w:val="20"/>
          <w:szCs w:val="20"/>
        </w:rPr>
        <w:tab/>
        <w:t>Cette glande produit un liquide qui joue un rôle dans l'activation des spermatozoïdes</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testicules </w:t>
      </w:r>
      <w:r w:rsidRPr="00A61E66">
        <w:rPr>
          <w:rFonts w:asciiTheme="majorBidi" w:hAnsiTheme="majorBidi" w:cstheme="majorBidi"/>
          <w:sz w:val="20"/>
          <w:szCs w:val="20"/>
        </w:rPr>
        <w:tab/>
      </w:r>
      <w:r w:rsidRPr="00A61E66">
        <w:rPr>
          <w:rFonts w:asciiTheme="majorBidi" w:hAnsiTheme="majorBidi" w:cstheme="majorBidi"/>
          <w:sz w:val="20"/>
          <w:szCs w:val="20"/>
        </w:rPr>
        <w:tab/>
        <w:t>B.</w:t>
      </w:r>
      <w:r w:rsidRPr="00A61E66">
        <w:rPr>
          <w:rFonts w:asciiTheme="majorBidi" w:hAnsiTheme="majorBidi" w:cstheme="majorBidi"/>
          <w:sz w:val="20"/>
          <w:szCs w:val="20"/>
        </w:rPr>
        <w:tab/>
        <w:t xml:space="preserve">glande de Cowper </w:t>
      </w:r>
      <w:r w:rsidRPr="00A61E66">
        <w:rPr>
          <w:rFonts w:asciiTheme="majorBidi" w:hAnsiTheme="majorBidi" w:cstheme="majorBidi"/>
          <w:sz w:val="20"/>
          <w:szCs w:val="20"/>
        </w:rPr>
        <w:tab/>
      </w:r>
      <w:r w:rsidRPr="00A61E66">
        <w:rPr>
          <w:rFonts w:asciiTheme="majorBidi" w:hAnsiTheme="majorBidi" w:cstheme="majorBidi"/>
          <w:sz w:val="20"/>
          <w:szCs w:val="20"/>
        </w:rPr>
        <w:tab/>
        <w:t>C.</w:t>
      </w:r>
      <w:r w:rsidRPr="00A61E66">
        <w:rPr>
          <w:rFonts w:asciiTheme="majorBidi" w:hAnsiTheme="majorBidi" w:cstheme="majorBidi"/>
          <w:sz w:val="20"/>
          <w:szCs w:val="20"/>
        </w:rPr>
        <w:tab/>
      </w:r>
      <w:r w:rsidRPr="00A61E66">
        <w:rPr>
          <w:rFonts w:asciiTheme="majorBidi" w:hAnsiTheme="majorBidi" w:cstheme="majorBidi"/>
          <w:b/>
          <w:bCs/>
          <w:sz w:val="20"/>
          <w:szCs w:val="20"/>
        </w:rPr>
        <w:t>prostate</w:t>
      </w:r>
      <w:r w:rsidRPr="00A61E66">
        <w:rPr>
          <w:rFonts w:asciiTheme="majorBidi" w:hAnsiTheme="majorBidi" w:cstheme="majorBidi"/>
          <w:sz w:val="20"/>
          <w:szCs w:val="20"/>
        </w:rPr>
        <w:t xml:space="preserve">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D.</w:t>
      </w:r>
      <w:r w:rsidRPr="00A61E66">
        <w:rPr>
          <w:rFonts w:asciiTheme="majorBidi" w:hAnsiTheme="majorBidi" w:cstheme="majorBidi"/>
          <w:sz w:val="20"/>
          <w:szCs w:val="20"/>
        </w:rPr>
        <w:tab/>
        <w:t xml:space="preserve">glande de Bartholin </w:t>
      </w:r>
      <w:r w:rsidRPr="00A61E66">
        <w:rPr>
          <w:rFonts w:asciiTheme="majorBidi" w:hAnsiTheme="majorBidi" w:cstheme="majorBidi"/>
          <w:sz w:val="20"/>
          <w:szCs w:val="20"/>
        </w:rPr>
        <w:tab/>
      </w:r>
      <w:r w:rsidRPr="00A61E66">
        <w:rPr>
          <w:rFonts w:asciiTheme="majorBidi" w:hAnsiTheme="majorBidi" w:cstheme="majorBidi"/>
          <w:sz w:val="20"/>
          <w:szCs w:val="20"/>
        </w:rPr>
        <w:tab/>
        <w:t>E.</w:t>
      </w:r>
      <w:r w:rsidRPr="00A61E66">
        <w:rPr>
          <w:rFonts w:asciiTheme="majorBidi" w:hAnsiTheme="majorBidi" w:cstheme="majorBidi"/>
          <w:sz w:val="20"/>
          <w:szCs w:val="20"/>
        </w:rPr>
        <w:tab/>
        <w:t>vésicules séminales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8- </w:t>
      </w:r>
      <w:r w:rsidRPr="00A61E66">
        <w:rPr>
          <w:rFonts w:asciiTheme="majorBidi" w:hAnsiTheme="majorBidi" w:cstheme="majorBidi"/>
          <w:b/>
          <w:bCs/>
          <w:sz w:val="20"/>
          <w:szCs w:val="20"/>
        </w:rPr>
        <w:tab/>
        <w:t>Cette glande produit un liquide qui contient du fructose et une substance pour fluidifier le mucus présent à l'entrée du vagin</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glande de Bartholin </w:t>
      </w:r>
      <w:r w:rsidRPr="00A61E66">
        <w:rPr>
          <w:rFonts w:asciiTheme="majorBidi" w:hAnsiTheme="majorBidi" w:cstheme="majorBidi"/>
          <w:sz w:val="20"/>
          <w:szCs w:val="20"/>
        </w:rPr>
        <w:tab/>
      </w:r>
      <w:r w:rsidRPr="00A61E66">
        <w:rPr>
          <w:rFonts w:asciiTheme="majorBidi" w:hAnsiTheme="majorBidi" w:cstheme="majorBidi"/>
          <w:sz w:val="20"/>
          <w:szCs w:val="20"/>
        </w:rPr>
        <w:tab/>
        <w:t>B.</w:t>
      </w:r>
      <w:r w:rsidRPr="00A61E66">
        <w:rPr>
          <w:rFonts w:asciiTheme="majorBidi" w:hAnsiTheme="majorBidi" w:cstheme="majorBidi"/>
          <w:sz w:val="20"/>
          <w:szCs w:val="20"/>
        </w:rPr>
        <w:tab/>
      </w:r>
      <w:r w:rsidRPr="00A61E66">
        <w:rPr>
          <w:rFonts w:asciiTheme="majorBidi" w:hAnsiTheme="majorBidi" w:cstheme="majorBidi"/>
          <w:b/>
          <w:bCs/>
          <w:sz w:val="20"/>
          <w:szCs w:val="20"/>
        </w:rPr>
        <w:t xml:space="preserve">vésicules séminales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C.</w:t>
      </w:r>
      <w:r w:rsidRPr="00A61E66">
        <w:rPr>
          <w:rFonts w:asciiTheme="majorBidi" w:hAnsiTheme="majorBidi" w:cstheme="majorBidi"/>
          <w:sz w:val="20"/>
          <w:szCs w:val="20"/>
        </w:rPr>
        <w:tab/>
        <w:t xml:space="preserve">prostate </w:t>
      </w:r>
      <w:r w:rsidRPr="00A61E66">
        <w:rPr>
          <w:rFonts w:asciiTheme="majorBidi" w:hAnsiTheme="majorBidi" w:cstheme="majorBidi"/>
          <w:sz w:val="20"/>
          <w:szCs w:val="20"/>
        </w:rPr>
        <w:tab/>
      </w:r>
      <w:r w:rsidRPr="00A61E66">
        <w:rPr>
          <w:rFonts w:asciiTheme="majorBidi" w:hAnsiTheme="majorBidi" w:cstheme="majorBidi"/>
          <w:sz w:val="20"/>
          <w:szCs w:val="20"/>
        </w:rPr>
        <w:tab/>
      </w:r>
      <w:r>
        <w:rPr>
          <w:rFonts w:asciiTheme="majorBidi" w:hAnsiTheme="majorBidi" w:cstheme="majorBidi"/>
          <w:sz w:val="20"/>
          <w:szCs w:val="20"/>
        </w:rPr>
        <w:tab/>
      </w:r>
      <w:r>
        <w:rPr>
          <w:rFonts w:asciiTheme="majorBidi" w:hAnsiTheme="majorBidi" w:cstheme="majorBidi"/>
          <w:sz w:val="20"/>
          <w:szCs w:val="20"/>
        </w:rPr>
        <w:tab/>
      </w:r>
      <w:r w:rsidRPr="00A61E66">
        <w:rPr>
          <w:rFonts w:asciiTheme="majorBidi" w:hAnsiTheme="majorBidi" w:cstheme="majorBidi"/>
          <w:sz w:val="20"/>
          <w:szCs w:val="20"/>
        </w:rPr>
        <w:t>D.</w:t>
      </w:r>
      <w:r w:rsidRPr="00A61E66">
        <w:rPr>
          <w:rFonts w:asciiTheme="majorBidi" w:hAnsiTheme="majorBidi" w:cstheme="majorBidi"/>
          <w:sz w:val="20"/>
          <w:szCs w:val="20"/>
        </w:rPr>
        <w:tab/>
        <w:t xml:space="preserve">testicules </w:t>
      </w:r>
      <w:r w:rsidRPr="00A61E66">
        <w:rPr>
          <w:rFonts w:asciiTheme="majorBidi" w:hAnsiTheme="majorBidi" w:cstheme="majorBidi"/>
          <w:sz w:val="20"/>
          <w:szCs w:val="20"/>
        </w:rPr>
        <w:tab/>
      </w:r>
      <w:r w:rsidRPr="00A61E66">
        <w:rPr>
          <w:rFonts w:asciiTheme="majorBidi" w:hAnsiTheme="majorBidi" w:cstheme="majorBidi"/>
          <w:sz w:val="20"/>
          <w:szCs w:val="20"/>
        </w:rPr>
        <w:tab/>
        <w:t>E.</w:t>
      </w:r>
      <w:r w:rsidRPr="00A61E66">
        <w:rPr>
          <w:rFonts w:asciiTheme="majorBidi" w:hAnsiTheme="majorBidi" w:cstheme="majorBidi"/>
          <w:sz w:val="20"/>
          <w:szCs w:val="20"/>
        </w:rPr>
        <w:tab/>
        <w:t>glande de Cowper</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9- </w:t>
      </w:r>
      <w:r w:rsidRPr="00A61E66">
        <w:rPr>
          <w:rFonts w:asciiTheme="majorBidi" w:hAnsiTheme="majorBidi" w:cstheme="majorBidi"/>
          <w:b/>
          <w:bCs/>
          <w:sz w:val="20"/>
          <w:szCs w:val="20"/>
        </w:rPr>
        <w:tab/>
        <w:t>L'ovaire libère généralement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r>
      <w:r w:rsidRPr="00A61E66">
        <w:rPr>
          <w:rFonts w:asciiTheme="majorBidi" w:hAnsiTheme="majorBidi" w:cstheme="majorBidi"/>
          <w:b/>
          <w:bCs/>
          <w:sz w:val="20"/>
          <w:szCs w:val="20"/>
        </w:rPr>
        <w:t>un seul ovule à la fois</w:t>
      </w:r>
      <w:r w:rsidRPr="00A61E66">
        <w:rPr>
          <w:rFonts w:asciiTheme="majorBidi" w:hAnsiTheme="majorBidi" w:cstheme="majorBidi"/>
          <w:sz w:val="20"/>
          <w:szCs w:val="20"/>
        </w:rPr>
        <w:t xml:space="preserve"> </w:t>
      </w:r>
      <w:r w:rsidRPr="00A61E66">
        <w:rPr>
          <w:rFonts w:asciiTheme="majorBidi" w:hAnsiTheme="majorBidi" w:cstheme="majorBidi"/>
          <w:sz w:val="20"/>
          <w:szCs w:val="20"/>
        </w:rPr>
        <w:tab/>
      </w:r>
      <w:r w:rsidRPr="00A61E66">
        <w:rPr>
          <w:rFonts w:asciiTheme="majorBidi" w:hAnsiTheme="majorBidi" w:cstheme="majorBidi"/>
          <w:sz w:val="20"/>
          <w:szCs w:val="20"/>
        </w:rPr>
        <w:tab/>
      </w:r>
      <w:r>
        <w:rPr>
          <w:rFonts w:asciiTheme="majorBidi" w:hAnsiTheme="majorBidi" w:cstheme="majorBidi"/>
          <w:sz w:val="20"/>
          <w:szCs w:val="20"/>
        </w:rPr>
        <w:tab/>
      </w:r>
      <w:r w:rsidRPr="00A61E66">
        <w:rPr>
          <w:rFonts w:asciiTheme="majorBidi" w:hAnsiTheme="majorBidi" w:cstheme="majorBidi"/>
          <w:sz w:val="20"/>
          <w:szCs w:val="20"/>
        </w:rPr>
        <w:t>B.</w:t>
      </w:r>
      <w:r w:rsidRPr="00A61E66">
        <w:rPr>
          <w:rFonts w:asciiTheme="majorBidi" w:hAnsiTheme="majorBidi" w:cstheme="majorBidi"/>
          <w:sz w:val="20"/>
          <w:szCs w:val="20"/>
        </w:rPr>
        <w:tab/>
        <w:t xml:space="preserve">deux ovules à la fois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C.</w:t>
      </w:r>
      <w:r w:rsidRPr="00A61E66">
        <w:rPr>
          <w:rFonts w:asciiTheme="majorBidi" w:hAnsiTheme="majorBidi" w:cstheme="majorBidi"/>
          <w:sz w:val="20"/>
          <w:szCs w:val="20"/>
        </w:rPr>
        <w:tab/>
        <w:t xml:space="preserve">des milliers d'ovules à la fois </w:t>
      </w:r>
      <w:r w:rsidRPr="00A61E66">
        <w:rPr>
          <w:rFonts w:asciiTheme="majorBidi" w:hAnsiTheme="majorBidi" w:cstheme="majorBidi"/>
          <w:sz w:val="20"/>
          <w:szCs w:val="20"/>
        </w:rPr>
        <w:tab/>
      </w:r>
      <w:r w:rsidRPr="00A61E66">
        <w:rPr>
          <w:rFonts w:asciiTheme="majorBidi" w:hAnsiTheme="majorBidi" w:cstheme="majorBidi"/>
          <w:sz w:val="20"/>
          <w:szCs w:val="20"/>
        </w:rPr>
        <w:tab/>
        <w:t>D.</w:t>
      </w:r>
      <w:r w:rsidRPr="00A61E66">
        <w:rPr>
          <w:rFonts w:asciiTheme="majorBidi" w:hAnsiTheme="majorBidi" w:cstheme="majorBidi"/>
          <w:sz w:val="20"/>
          <w:szCs w:val="20"/>
        </w:rPr>
        <w:tab/>
        <w:t>plusieurs ovules à la fois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10- </w:t>
      </w:r>
      <w:r w:rsidRPr="00A61E66">
        <w:rPr>
          <w:rFonts w:asciiTheme="majorBidi" w:hAnsiTheme="majorBidi" w:cstheme="majorBidi"/>
          <w:b/>
          <w:bCs/>
          <w:sz w:val="20"/>
          <w:szCs w:val="20"/>
        </w:rPr>
        <w:tab/>
        <w:t>Les ovaires sont reliés à l'utérus par:</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le canal déférent </w:t>
      </w:r>
      <w:r w:rsidRPr="00A61E66">
        <w:rPr>
          <w:rFonts w:asciiTheme="majorBidi" w:hAnsiTheme="majorBidi" w:cstheme="majorBidi"/>
          <w:sz w:val="20"/>
          <w:szCs w:val="20"/>
        </w:rPr>
        <w:tab/>
      </w:r>
      <w:r w:rsidRPr="00A61E66">
        <w:rPr>
          <w:rFonts w:asciiTheme="majorBidi" w:hAnsiTheme="majorBidi" w:cstheme="majorBidi"/>
          <w:sz w:val="20"/>
          <w:szCs w:val="20"/>
        </w:rPr>
        <w:tab/>
        <w:t>B.</w:t>
      </w:r>
      <w:r w:rsidRPr="00A61E66">
        <w:rPr>
          <w:rFonts w:asciiTheme="majorBidi" w:hAnsiTheme="majorBidi" w:cstheme="majorBidi"/>
          <w:sz w:val="20"/>
          <w:szCs w:val="20"/>
        </w:rPr>
        <w:tab/>
        <w:t xml:space="preserve">la prostate </w:t>
      </w:r>
      <w:r w:rsidRPr="00A61E66">
        <w:rPr>
          <w:rFonts w:asciiTheme="majorBidi" w:hAnsiTheme="majorBidi" w:cstheme="majorBidi"/>
          <w:sz w:val="20"/>
          <w:szCs w:val="20"/>
        </w:rPr>
        <w:tab/>
      </w:r>
      <w:r w:rsidRPr="00A61E66">
        <w:rPr>
          <w:rFonts w:asciiTheme="majorBidi" w:hAnsiTheme="majorBidi" w:cstheme="majorBidi"/>
          <w:sz w:val="20"/>
          <w:szCs w:val="20"/>
        </w:rPr>
        <w:tab/>
        <w:t>C.</w:t>
      </w:r>
      <w:r w:rsidRPr="00A61E66">
        <w:rPr>
          <w:rFonts w:asciiTheme="majorBidi" w:hAnsiTheme="majorBidi" w:cstheme="majorBidi"/>
          <w:sz w:val="20"/>
          <w:szCs w:val="20"/>
        </w:rPr>
        <w:tab/>
      </w:r>
      <w:r w:rsidRPr="00A61E66">
        <w:rPr>
          <w:rFonts w:asciiTheme="majorBidi" w:hAnsiTheme="majorBidi" w:cstheme="majorBidi"/>
          <w:b/>
          <w:bCs/>
          <w:sz w:val="20"/>
          <w:szCs w:val="20"/>
        </w:rPr>
        <w:t>les trompes de Fallope</w:t>
      </w:r>
      <w:r w:rsidRPr="00A61E66">
        <w:rPr>
          <w:rFonts w:asciiTheme="majorBidi" w:hAnsiTheme="majorBidi" w:cstheme="majorBidi"/>
          <w:sz w:val="20"/>
          <w:szCs w:val="20"/>
        </w:rPr>
        <w:t xml:space="preserve"> </w:t>
      </w:r>
    </w:p>
    <w:p w:rsidR="00F67E76" w:rsidRPr="00A61E66" w:rsidRDefault="00F67E76" w:rsidP="00F67E76">
      <w:pPr>
        <w:spacing w:after="0" w:line="240" w:lineRule="auto"/>
        <w:ind w:firstLine="708"/>
        <w:rPr>
          <w:rFonts w:asciiTheme="majorBidi" w:hAnsiTheme="majorBidi" w:cstheme="majorBidi"/>
          <w:sz w:val="20"/>
          <w:szCs w:val="20"/>
        </w:rPr>
      </w:pPr>
      <w:r>
        <w:rPr>
          <w:rFonts w:asciiTheme="majorBidi" w:hAnsiTheme="majorBidi" w:cstheme="majorBidi"/>
          <w:sz w:val="20"/>
          <w:szCs w:val="20"/>
        </w:rPr>
        <w:t>D.</w:t>
      </w:r>
      <w:r>
        <w:rPr>
          <w:rFonts w:asciiTheme="majorBidi" w:hAnsiTheme="majorBidi" w:cstheme="majorBidi"/>
          <w:sz w:val="20"/>
          <w:szCs w:val="20"/>
        </w:rPr>
        <w:tab/>
        <w:t xml:space="preserve">les uretères </w:t>
      </w:r>
      <w:r>
        <w:rPr>
          <w:rFonts w:asciiTheme="majorBidi" w:hAnsiTheme="majorBidi" w:cstheme="majorBidi"/>
          <w:sz w:val="20"/>
          <w:szCs w:val="20"/>
        </w:rPr>
        <w:tab/>
      </w:r>
      <w:r>
        <w:rPr>
          <w:rFonts w:asciiTheme="majorBidi" w:hAnsiTheme="majorBidi" w:cstheme="majorBidi"/>
          <w:sz w:val="20"/>
          <w:szCs w:val="20"/>
        </w:rPr>
        <w:tab/>
      </w:r>
      <w:r w:rsidRPr="00A61E66">
        <w:rPr>
          <w:rFonts w:asciiTheme="majorBidi" w:hAnsiTheme="majorBidi" w:cstheme="majorBidi"/>
          <w:sz w:val="20"/>
          <w:szCs w:val="20"/>
        </w:rPr>
        <w:t>E.</w:t>
      </w:r>
      <w:r w:rsidRPr="00A61E66">
        <w:rPr>
          <w:rFonts w:asciiTheme="majorBidi" w:hAnsiTheme="majorBidi" w:cstheme="majorBidi"/>
          <w:sz w:val="20"/>
          <w:szCs w:val="20"/>
        </w:rPr>
        <w:tab/>
        <w:t>le corps jaune</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11-      Les trompes de Fallope sont des conduits qui relient:</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A.</w:t>
      </w:r>
      <w:r w:rsidRPr="00A61E66">
        <w:rPr>
          <w:rFonts w:asciiTheme="majorBidi" w:hAnsiTheme="majorBidi" w:cstheme="majorBidi"/>
          <w:sz w:val="20"/>
          <w:szCs w:val="20"/>
        </w:rPr>
        <w:tab/>
        <w:t xml:space="preserve">les vésicules séminales à la prostate </w:t>
      </w:r>
      <w:r w:rsidRPr="00A61E66">
        <w:rPr>
          <w:rFonts w:asciiTheme="majorBidi" w:hAnsiTheme="majorBidi" w:cstheme="majorBidi"/>
          <w:sz w:val="20"/>
          <w:szCs w:val="20"/>
        </w:rPr>
        <w:tab/>
        <w:t>B.</w:t>
      </w:r>
      <w:r w:rsidRPr="00A61E66">
        <w:rPr>
          <w:rFonts w:asciiTheme="majorBidi" w:hAnsiTheme="majorBidi" w:cstheme="majorBidi"/>
          <w:sz w:val="20"/>
          <w:szCs w:val="20"/>
        </w:rPr>
        <w:tab/>
      </w:r>
      <w:r w:rsidRPr="00A61E66">
        <w:rPr>
          <w:rFonts w:asciiTheme="majorBidi" w:hAnsiTheme="majorBidi" w:cstheme="majorBidi"/>
          <w:b/>
          <w:bCs/>
          <w:sz w:val="20"/>
          <w:szCs w:val="20"/>
        </w:rPr>
        <w:t>les ovaires à l'utérus</w:t>
      </w:r>
      <w:r w:rsidRPr="00A61E66">
        <w:rPr>
          <w:rFonts w:asciiTheme="majorBidi" w:hAnsiTheme="majorBidi" w:cstheme="majorBidi"/>
          <w:sz w:val="20"/>
          <w:szCs w:val="20"/>
        </w:rPr>
        <w:t xml:space="preserve">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lastRenderedPageBreak/>
        <w:t>C.</w:t>
      </w:r>
      <w:r w:rsidRPr="00A61E66">
        <w:rPr>
          <w:rFonts w:asciiTheme="majorBidi" w:hAnsiTheme="majorBidi" w:cstheme="majorBidi"/>
          <w:sz w:val="20"/>
          <w:szCs w:val="20"/>
        </w:rPr>
        <w:tab/>
        <w:t xml:space="preserve">les ovaires au vagin </w:t>
      </w:r>
      <w:r w:rsidRPr="00A61E66">
        <w:rPr>
          <w:rFonts w:asciiTheme="majorBidi" w:hAnsiTheme="majorBidi" w:cstheme="majorBidi"/>
          <w:sz w:val="20"/>
          <w:szCs w:val="20"/>
        </w:rPr>
        <w:tab/>
      </w:r>
      <w:r w:rsidRPr="00A61E66">
        <w:rPr>
          <w:rFonts w:asciiTheme="majorBidi" w:hAnsiTheme="majorBidi" w:cstheme="majorBidi"/>
          <w:sz w:val="20"/>
          <w:szCs w:val="20"/>
        </w:rPr>
        <w:tab/>
      </w:r>
      <w:r w:rsidRPr="00A61E66">
        <w:rPr>
          <w:rFonts w:asciiTheme="majorBidi" w:hAnsiTheme="majorBidi" w:cstheme="majorBidi"/>
          <w:sz w:val="20"/>
          <w:szCs w:val="20"/>
        </w:rPr>
        <w:tab/>
        <w:t>D.</w:t>
      </w:r>
      <w:r w:rsidRPr="00A61E66">
        <w:rPr>
          <w:rFonts w:asciiTheme="majorBidi" w:hAnsiTheme="majorBidi" w:cstheme="majorBidi"/>
          <w:sz w:val="20"/>
          <w:szCs w:val="20"/>
        </w:rPr>
        <w:tab/>
        <w:t xml:space="preserve">les épididymes aux testicules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E.</w:t>
      </w:r>
      <w:r w:rsidRPr="00A61E66">
        <w:rPr>
          <w:rFonts w:asciiTheme="majorBidi" w:hAnsiTheme="majorBidi" w:cstheme="majorBidi"/>
          <w:sz w:val="20"/>
          <w:szCs w:val="20"/>
        </w:rPr>
        <w:tab/>
        <w:t>le vagin à l'utérus</w:t>
      </w:r>
    </w:p>
    <w:p w:rsidR="00F67E76" w:rsidRPr="00A61E66" w:rsidRDefault="00F67E76" w:rsidP="00F67E76">
      <w:pPr>
        <w:spacing w:after="0" w:line="240" w:lineRule="auto"/>
        <w:rPr>
          <w:rFonts w:asciiTheme="majorBidi" w:hAnsiTheme="majorBidi" w:cstheme="majorBidi"/>
          <w:b/>
          <w:bCs/>
          <w:sz w:val="20"/>
          <w:szCs w:val="20"/>
        </w:rPr>
      </w:pPr>
    </w:p>
    <w:p w:rsidR="00F67E76" w:rsidRPr="00A61E66" w:rsidRDefault="00F67E76" w:rsidP="00F67E76">
      <w:pPr>
        <w:spacing w:after="0" w:line="240" w:lineRule="auto"/>
        <w:rPr>
          <w:rFonts w:asciiTheme="majorBidi" w:hAnsiTheme="majorBidi" w:cstheme="majorBidi"/>
          <w:b/>
          <w:bCs/>
          <w:sz w:val="20"/>
          <w:szCs w:val="20"/>
        </w:rPr>
      </w:pPr>
      <w:r w:rsidRPr="00A61E66">
        <w:rPr>
          <w:rFonts w:asciiTheme="majorBidi" w:hAnsiTheme="majorBidi" w:cstheme="majorBidi"/>
          <w:b/>
          <w:bCs/>
          <w:sz w:val="20"/>
          <w:szCs w:val="20"/>
        </w:rPr>
        <w:t xml:space="preserve">12- </w:t>
      </w:r>
      <w:r w:rsidRPr="00A61E66">
        <w:rPr>
          <w:rFonts w:asciiTheme="majorBidi" w:hAnsiTheme="majorBidi" w:cstheme="majorBidi"/>
          <w:b/>
          <w:bCs/>
          <w:sz w:val="20"/>
          <w:szCs w:val="20"/>
        </w:rPr>
        <w:tab/>
        <w:t>On appelle aussi organe de gestation:</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b/>
          <w:bCs/>
          <w:sz w:val="20"/>
          <w:szCs w:val="20"/>
        </w:rPr>
        <w:t>A.</w:t>
      </w:r>
      <w:r w:rsidRPr="00A61E66">
        <w:rPr>
          <w:rFonts w:asciiTheme="majorBidi" w:hAnsiTheme="majorBidi" w:cstheme="majorBidi"/>
          <w:b/>
          <w:bCs/>
          <w:sz w:val="20"/>
          <w:szCs w:val="20"/>
        </w:rPr>
        <w:tab/>
        <w:t>l'utérus</w:t>
      </w:r>
      <w:r w:rsidRPr="00A61E66">
        <w:rPr>
          <w:rFonts w:asciiTheme="majorBidi" w:hAnsiTheme="majorBidi" w:cstheme="majorBidi"/>
          <w:sz w:val="20"/>
          <w:szCs w:val="20"/>
        </w:rPr>
        <w:t xml:space="preserve"> </w:t>
      </w:r>
      <w:r w:rsidRPr="00A61E66">
        <w:rPr>
          <w:rFonts w:asciiTheme="majorBidi" w:hAnsiTheme="majorBidi" w:cstheme="majorBidi"/>
          <w:sz w:val="20"/>
          <w:szCs w:val="20"/>
        </w:rPr>
        <w:tab/>
        <w:t>B.</w:t>
      </w:r>
      <w:r w:rsidRPr="00A61E66">
        <w:rPr>
          <w:rFonts w:asciiTheme="majorBidi" w:hAnsiTheme="majorBidi" w:cstheme="majorBidi"/>
          <w:sz w:val="20"/>
          <w:szCs w:val="20"/>
        </w:rPr>
        <w:tab/>
        <w:t xml:space="preserve">vagin et utérus </w:t>
      </w:r>
      <w:r w:rsidRPr="00A61E66">
        <w:rPr>
          <w:rFonts w:asciiTheme="majorBidi" w:hAnsiTheme="majorBidi" w:cstheme="majorBidi"/>
          <w:sz w:val="20"/>
          <w:szCs w:val="20"/>
        </w:rPr>
        <w:tab/>
      </w:r>
      <w:r w:rsidRPr="00A61E66">
        <w:rPr>
          <w:rFonts w:asciiTheme="majorBidi" w:hAnsiTheme="majorBidi" w:cstheme="majorBidi"/>
          <w:sz w:val="20"/>
          <w:szCs w:val="20"/>
        </w:rPr>
        <w:tab/>
        <w:t>B.</w:t>
      </w:r>
      <w:r w:rsidRPr="00A61E66">
        <w:rPr>
          <w:rFonts w:asciiTheme="majorBidi" w:hAnsiTheme="majorBidi" w:cstheme="majorBidi"/>
          <w:sz w:val="20"/>
          <w:szCs w:val="20"/>
        </w:rPr>
        <w:tab/>
        <w:t xml:space="preserve">vagin et utérus </w:t>
      </w:r>
    </w:p>
    <w:p w:rsidR="00F67E76" w:rsidRPr="00A61E66" w:rsidRDefault="00F67E76" w:rsidP="00F67E76">
      <w:pPr>
        <w:spacing w:after="0" w:line="240" w:lineRule="auto"/>
        <w:ind w:firstLine="708"/>
        <w:rPr>
          <w:rFonts w:asciiTheme="majorBidi" w:hAnsiTheme="majorBidi" w:cstheme="majorBidi"/>
          <w:sz w:val="20"/>
          <w:szCs w:val="20"/>
        </w:rPr>
      </w:pPr>
      <w:r w:rsidRPr="00A61E66">
        <w:rPr>
          <w:rFonts w:asciiTheme="majorBidi" w:hAnsiTheme="majorBidi" w:cstheme="majorBidi"/>
          <w:sz w:val="20"/>
          <w:szCs w:val="20"/>
        </w:rPr>
        <w:t>C.</w:t>
      </w:r>
      <w:r w:rsidRPr="00A61E66">
        <w:rPr>
          <w:rFonts w:asciiTheme="majorBidi" w:hAnsiTheme="majorBidi" w:cstheme="majorBidi"/>
          <w:sz w:val="20"/>
          <w:szCs w:val="20"/>
        </w:rPr>
        <w:tab/>
        <w:t xml:space="preserve">le vagin </w:t>
      </w:r>
      <w:r w:rsidRPr="00A61E66">
        <w:rPr>
          <w:rFonts w:asciiTheme="majorBidi" w:hAnsiTheme="majorBidi" w:cstheme="majorBidi"/>
          <w:sz w:val="20"/>
          <w:szCs w:val="20"/>
        </w:rPr>
        <w:tab/>
        <w:t>D.</w:t>
      </w:r>
      <w:r w:rsidRPr="00A61E66">
        <w:rPr>
          <w:rFonts w:asciiTheme="majorBidi" w:hAnsiTheme="majorBidi" w:cstheme="majorBidi"/>
          <w:sz w:val="20"/>
          <w:szCs w:val="20"/>
        </w:rPr>
        <w:tab/>
        <w:t xml:space="preserve">les trompes de Fallope </w:t>
      </w:r>
      <w:r w:rsidRPr="00A61E66">
        <w:rPr>
          <w:rFonts w:asciiTheme="majorBidi" w:hAnsiTheme="majorBidi" w:cstheme="majorBidi"/>
          <w:sz w:val="20"/>
          <w:szCs w:val="20"/>
        </w:rPr>
        <w:tab/>
        <w:t>E.</w:t>
      </w:r>
      <w:r w:rsidRPr="00A61E66">
        <w:rPr>
          <w:rFonts w:asciiTheme="majorBidi" w:hAnsiTheme="majorBidi" w:cstheme="majorBidi"/>
          <w:sz w:val="20"/>
          <w:szCs w:val="20"/>
        </w:rPr>
        <w:tab/>
        <w:t>vagin et trompes de Fallope</w:t>
      </w:r>
    </w:p>
    <w:p w:rsidR="00F67E76" w:rsidRDefault="00F67E76" w:rsidP="00F67E76">
      <w:pPr>
        <w:spacing w:before="100" w:beforeAutospacing="1" w:after="100" w:afterAutospacing="1" w:line="240" w:lineRule="auto"/>
        <w:jc w:val="both"/>
        <w:rPr>
          <w:rFonts w:ascii="Times New Roman" w:eastAsia="Times New Roman" w:hAnsi="Times New Roman" w:cs="Times New Roman"/>
          <w:b/>
          <w:bCs/>
          <w:sz w:val="40"/>
          <w:szCs w:val="40"/>
        </w:rPr>
      </w:pPr>
    </w:p>
    <w:p w:rsidR="00F67E76" w:rsidRPr="00967982" w:rsidRDefault="00F67E76" w:rsidP="00F67E76">
      <w:pPr>
        <w:spacing w:after="0" w:line="240" w:lineRule="auto"/>
        <w:rPr>
          <w:rFonts w:asciiTheme="majorBidi" w:hAnsiTheme="majorBidi" w:cstheme="majorBidi"/>
          <w:b/>
          <w:bCs/>
        </w:rPr>
      </w:pPr>
      <w:r>
        <w:rPr>
          <w:rFonts w:asciiTheme="majorBidi" w:hAnsiTheme="majorBidi" w:cstheme="majorBidi"/>
          <w:b/>
          <w:bCs/>
        </w:rPr>
        <w:t xml:space="preserve">B- </w:t>
      </w:r>
      <w:r w:rsidRPr="00967982">
        <w:rPr>
          <w:rFonts w:asciiTheme="majorBidi" w:hAnsiTheme="majorBidi" w:cstheme="majorBidi"/>
          <w:b/>
          <w:bCs/>
        </w:rPr>
        <w:t>Quel est la différence entre ovocyte, œuf, embryon et fœtus ?</w:t>
      </w:r>
    </w:p>
    <w:p w:rsidR="00F67E76" w:rsidRPr="00967982" w:rsidRDefault="00F67E76" w:rsidP="00F67E76">
      <w:pPr>
        <w:spacing w:after="0" w:line="240" w:lineRule="auto"/>
        <w:ind w:left="720"/>
        <w:jc w:val="both"/>
        <w:rPr>
          <w:rFonts w:asciiTheme="majorBidi" w:hAnsiTheme="majorBidi" w:cstheme="majorBidi"/>
        </w:rPr>
      </w:pPr>
      <w:r w:rsidRPr="00967982">
        <w:rPr>
          <w:rFonts w:asciiTheme="majorBidi" w:hAnsiTheme="majorBidi" w:cstheme="majorBidi"/>
        </w:rPr>
        <w:t xml:space="preserve">La gestation correspond à la période de vie de la femelle qui s’écoule entre la fécondation et la mise- bas. L’événement essentiel de la gestation est la transformation de </w:t>
      </w:r>
      <w:r w:rsidRPr="00967982">
        <w:rPr>
          <w:rFonts w:asciiTheme="majorBidi" w:hAnsiTheme="majorBidi" w:cstheme="majorBidi"/>
          <w:b/>
          <w:bCs/>
        </w:rPr>
        <w:t>l’ovocyte</w:t>
      </w:r>
      <w:r w:rsidRPr="00967982">
        <w:rPr>
          <w:rFonts w:asciiTheme="majorBidi" w:hAnsiTheme="majorBidi" w:cstheme="majorBidi"/>
        </w:rPr>
        <w:t xml:space="preserve"> en </w:t>
      </w:r>
      <w:r w:rsidRPr="00967982">
        <w:rPr>
          <w:rFonts w:asciiTheme="majorBidi" w:hAnsiTheme="majorBidi" w:cstheme="majorBidi"/>
          <w:b/>
          <w:bCs/>
        </w:rPr>
        <w:t xml:space="preserve">œuf </w:t>
      </w:r>
      <w:r w:rsidRPr="00967982">
        <w:rPr>
          <w:rFonts w:asciiTheme="majorBidi" w:hAnsiTheme="majorBidi" w:cstheme="majorBidi"/>
        </w:rPr>
        <w:t>a la suite de la fusion des deux membranes nucléaires l’œuf entre immédiatement en division et donne naissance à 2 cellules filles.</w:t>
      </w:r>
    </w:p>
    <w:p w:rsidR="00F67E76" w:rsidRPr="00967982" w:rsidRDefault="00F67E76" w:rsidP="00F67E76">
      <w:pPr>
        <w:spacing w:after="0" w:line="240" w:lineRule="auto"/>
        <w:ind w:left="720"/>
        <w:jc w:val="both"/>
        <w:rPr>
          <w:rFonts w:asciiTheme="majorBidi" w:hAnsiTheme="majorBidi" w:cstheme="majorBidi"/>
        </w:rPr>
      </w:pPr>
      <w:r w:rsidRPr="00967982">
        <w:rPr>
          <w:rFonts w:asciiTheme="majorBidi" w:hAnsiTheme="majorBidi" w:cstheme="majorBidi"/>
        </w:rPr>
        <w:t xml:space="preserve">Dés ce moment, le produit de la conception s’appelle un </w:t>
      </w:r>
      <w:r w:rsidRPr="00967982">
        <w:rPr>
          <w:rFonts w:asciiTheme="majorBidi" w:hAnsiTheme="majorBidi" w:cstheme="majorBidi"/>
          <w:b/>
          <w:bCs/>
        </w:rPr>
        <w:t>embryon</w:t>
      </w:r>
      <w:r w:rsidRPr="00967982">
        <w:rPr>
          <w:rFonts w:asciiTheme="majorBidi" w:hAnsiTheme="majorBidi" w:cstheme="majorBidi"/>
        </w:rPr>
        <w:t xml:space="preserve">. Il le restera jusqu’à ce que l’ensemble des tissus de l’organisme se mette en place. On dit alors que l’organogénèse  est terminée. Ainsi, lorsque les tissus sexuels les plus tardifs apparaissent, l’embryon est devenu un </w:t>
      </w:r>
      <w:r w:rsidRPr="00967982">
        <w:rPr>
          <w:rFonts w:asciiTheme="majorBidi" w:hAnsiTheme="majorBidi" w:cstheme="majorBidi"/>
          <w:b/>
          <w:bCs/>
        </w:rPr>
        <w:t>fœtus</w:t>
      </w:r>
      <w:r w:rsidRPr="00967982">
        <w:rPr>
          <w:rFonts w:asciiTheme="majorBidi" w:hAnsiTheme="majorBidi" w:cstheme="majorBidi"/>
        </w:rPr>
        <w:t xml:space="preserve">. </w:t>
      </w:r>
    </w:p>
    <w:p w:rsidR="00F67E76" w:rsidRPr="00967982" w:rsidRDefault="00F67E76" w:rsidP="00F67E76">
      <w:pPr>
        <w:spacing w:after="0" w:line="240" w:lineRule="auto"/>
        <w:jc w:val="both"/>
        <w:rPr>
          <w:rFonts w:asciiTheme="majorBidi" w:hAnsiTheme="majorBidi" w:cstheme="majorBidi"/>
        </w:rPr>
      </w:pPr>
    </w:p>
    <w:p w:rsidR="00F67E76" w:rsidRPr="00967982" w:rsidRDefault="00F67E76" w:rsidP="00F67E76">
      <w:pPr>
        <w:spacing w:after="0" w:line="240" w:lineRule="auto"/>
        <w:rPr>
          <w:rFonts w:asciiTheme="majorBidi" w:hAnsiTheme="majorBidi" w:cstheme="majorBidi"/>
          <w:b/>
          <w:bCs/>
        </w:rPr>
      </w:pPr>
      <w:r>
        <w:rPr>
          <w:rFonts w:asciiTheme="majorBidi" w:hAnsiTheme="majorBidi" w:cstheme="majorBidi"/>
          <w:b/>
          <w:bCs/>
        </w:rPr>
        <w:t xml:space="preserve">C- </w:t>
      </w:r>
      <w:r w:rsidRPr="00967982">
        <w:rPr>
          <w:rFonts w:asciiTheme="majorBidi" w:hAnsiTheme="majorBidi" w:cstheme="majorBidi"/>
          <w:b/>
          <w:bCs/>
        </w:rPr>
        <w:t>Quels sont les méthodes les plus courantes pour diagnostiquer la gestation ?</w:t>
      </w:r>
    </w:p>
    <w:p w:rsidR="00F67E76" w:rsidRPr="00967982" w:rsidRDefault="00F67E76" w:rsidP="00F67E76">
      <w:pPr>
        <w:pStyle w:val="NormalWeb"/>
        <w:spacing w:before="0" w:beforeAutospacing="0" w:after="0" w:afterAutospacing="0"/>
        <w:ind w:left="708"/>
        <w:jc w:val="both"/>
        <w:rPr>
          <w:rFonts w:asciiTheme="majorBidi" w:hAnsiTheme="majorBidi" w:cstheme="majorBidi"/>
          <w:color w:val="000000"/>
          <w:sz w:val="22"/>
          <w:szCs w:val="22"/>
        </w:rPr>
      </w:pPr>
      <w:r w:rsidRPr="00967982">
        <w:rPr>
          <w:rFonts w:asciiTheme="majorBidi" w:hAnsiTheme="majorBidi" w:cstheme="majorBidi"/>
          <w:color w:val="000000"/>
          <w:sz w:val="22"/>
          <w:szCs w:val="22"/>
        </w:rPr>
        <w:t xml:space="preserve">Les méthodes les plus courantes pour diagnostiquer la gestation sont </w:t>
      </w:r>
    </w:p>
    <w:p w:rsidR="00F67E76" w:rsidRPr="00967982" w:rsidRDefault="00F67E76" w:rsidP="00F67E76">
      <w:pPr>
        <w:pStyle w:val="NormalWeb"/>
        <w:spacing w:before="0" w:beforeAutospacing="0" w:after="0" w:afterAutospacing="0"/>
        <w:ind w:left="708" w:firstLine="708"/>
        <w:jc w:val="both"/>
        <w:rPr>
          <w:rFonts w:asciiTheme="majorBidi" w:hAnsiTheme="majorBidi" w:cstheme="majorBidi"/>
          <w:color w:val="000000"/>
          <w:sz w:val="22"/>
          <w:szCs w:val="22"/>
        </w:rPr>
      </w:pPr>
      <w:r w:rsidRPr="00967982">
        <w:rPr>
          <w:rFonts w:asciiTheme="majorBidi" w:hAnsiTheme="majorBidi" w:cstheme="majorBidi"/>
          <w:color w:val="000000"/>
          <w:sz w:val="22"/>
          <w:szCs w:val="22"/>
        </w:rPr>
        <w:t>(1) l'absence de retour en chaleur.</w:t>
      </w:r>
    </w:p>
    <w:p w:rsidR="00F67E76" w:rsidRPr="00967982" w:rsidRDefault="00F67E76" w:rsidP="00F67E76">
      <w:pPr>
        <w:pStyle w:val="NormalWeb"/>
        <w:spacing w:before="0" w:beforeAutospacing="0" w:after="0" w:afterAutospacing="0"/>
        <w:ind w:left="708" w:firstLine="708"/>
        <w:jc w:val="both"/>
        <w:rPr>
          <w:rFonts w:asciiTheme="majorBidi" w:hAnsiTheme="majorBidi" w:cstheme="majorBidi"/>
          <w:color w:val="000000"/>
          <w:sz w:val="22"/>
          <w:szCs w:val="22"/>
        </w:rPr>
      </w:pPr>
      <w:r w:rsidRPr="00967982">
        <w:rPr>
          <w:rFonts w:asciiTheme="majorBidi" w:hAnsiTheme="majorBidi" w:cstheme="majorBidi"/>
          <w:color w:val="000000"/>
          <w:sz w:val="22"/>
          <w:szCs w:val="22"/>
        </w:rPr>
        <w:t>(2) la concentration de progestérone dans le lait.</w:t>
      </w:r>
    </w:p>
    <w:p w:rsidR="00F67E76" w:rsidRDefault="00F67E76" w:rsidP="00F67E76">
      <w:pPr>
        <w:pStyle w:val="NormalWeb"/>
        <w:spacing w:before="0" w:beforeAutospacing="0" w:after="0" w:afterAutospacing="0"/>
        <w:ind w:left="708" w:firstLine="708"/>
        <w:jc w:val="both"/>
        <w:rPr>
          <w:rFonts w:asciiTheme="majorBidi" w:hAnsiTheme="majorBidi" w:cstheme="majorBidi"/>
          <w:color w:val="000000"/>
          <w:sz w:val="22"/>
          <w:szCs w:val="22"/>
        </w:rPr>
      </w:pPr>
      <w:r w:rsidRPr="00967982">
        <w:rPr>
          <w:rFonts w:asciiTheme="majorBidi" w:hAnsiTheme="majorBidi" w:cstheme="majorBidi"/>
          <w:color w:val="000000"/>
          <w:sz w:val="22"/>
          <w:szCs w:val="22"/>
        </w:rPr>
        <w:t>(3) la palpation rectale.</w:t>
      </w:r>
    </w:p>
    <w:p w:rsidR="00F67E76" w:rsidRDefault="00F67E76" w:rsidP="00F67E76">
      <w:pPr>
        <w:spacing w:before="100" w:beforeAutospacing="1" w:after="100" w:afterAutospacing="1" w:line="240" w:lineRule="auto"/>
        <w:jc w:val="both"/>
        <w:rPr>
          <w:rFonts w:ascii="Times New Roman" w:eastAsia="Times New Roman" w:hAnsi="Times New Roman" w:cs="Times New Roman"/>
          <w:b/>
          <w:bCs/>
          <w:sz w:val="40"/>
          <w:szCs w:val="40"/>
        </w:rPr>
      </w:pPr>
    </w:p>
    <w:p w:rsidR="00F67E76" w:rsidRDefault="00F67E76" w:rsidP="00F67E76">
      <w:pPr>
        <w:spacing w:before="100" w:beforeAutospacing="1" w:after="100" w:afterAutospacing="1" w:line="240" w:lineRule="auto"/>
        <w:jc w:val="both"/>
        <w:rPr>
          <w:rFonts w:ascii="Times New Roman" w:eastAsia="Times New Roman" w:hAnsi="Times New Roman" w:cs="Times New Roman"/>
          <w:b/>
          <w:bCs/>
          <w:sz w:val="40"/>
          <w:szCs w:val="40"/>
        </w:rPr>
      </w:pPr>
    </w:p>
    <w:p w:rsidR="00F67E76" w:rsidRDefault="00F67E76" w:rsidP="00F67E76">
      <w:pPr>
        <w:spacing w:before="100" w:beforeAutospacing="1" w:after="100" w:afterAutospacing="1" w:line="240" w:lineRule="auto"/>
        <w:jc w:val="both"/>
        <w:rPr>
          <w:rFonts w:ascii="Times New Roman" w:eastAsia="Times New Roman" w:hAnsi="Times New Roman" w:cs="Times New Roman"/>
          <w:b/>
          <w:bCs/>
          <w:sz w:val="40"/>
          <w:szCs w:val="40"/>
        </w:rPr>
      </w:pPr>
    </w:p>
    <w:sectPr w:rsidR="00F67E76" w:rsidSect="002A534E">
      <w:pgSz w:w="11906" w:h="16838"/>
      <w:pgMar w:top="794" w:right="1418" w:bottom="794" w:left="1418" w:header="709" w:footer="709"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324E24"/>
    <w:multiLevelType w:val="hybridMultilevel"/>
    <w:tmpl w:val="A70626AE"/>
    <w:lvl w:ilvl="0" w:tplc="6CC65C4A">
      <w:start w:val="1"/>
      <w:numFmt w:val="upperLetter"/>
      <w:lvlText w:val="%1-"/>
      <w:lvlJc w:val="left"/>
      <w:pPr>
        <w:ind w:left="1776" w:hanging="360"/>
      </w:pPr>
      <w:rPr>
        <w:rFonts w:ascii="Arial" w:eastAsia="Times New Roman" w:hAnsi="Arial" w:cs="Arial"/>
      </w:r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6"/>
  <w:proofState w:spelling="clean" w:grammar="clean"/>
  <w:defaultTabStop w:val="708"/>
  <w:hyphenationZone w:val="425"/>
  <w:characterSpacingControl w:val="doNotCompress"/>
  <w:compat>
    <w:useFELayout/>
  </w:compat>
  <w:rsids>
    <w:rsidRoot w:val="00F67E76"/>
    <w:rsid w:val="00073B3C"/>
    <w:rsid w:val="002176DD"/>
    <w:rsid w:val="002A534E"/>
    <w:rsid w:val="00436A09"/>
    <w:rsid w:val="00F40EA2"/>
    <w:rsid w:val="00F67E76"/>
  </w:rsids>
  <m:mathPr>
    <m:mathFont m:val="Cambria Math"/>
    <m:brkBin m:val="before"/>
    <m:brkBinSub m:val="--"/>
    <m:smallFrac m:val="off"/>
    <m:dispDef/>
    <m:lMargin m:val="0"/>
    <m:rMargin m:val="0"/>
    <m:defJc m:val="centerGroup"/>
    <m:wrapIndent m:val="1440"/>
    <m:intLim m:val="subSup"/>
    <m:naryLim m:val="undOvr"/>
  </m:mathPr>
  <w:themeFontLang w:val="fr-FR" w:bidi="ar-SA"/>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0EA2"/>
  </w:style>
  <w:style w:type="character" w:default="1" w:styleId="Policepardfaut">
    <w:name w:val="Default Paragraph Font"/>
    <w:uiPriority w:val="1"/>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rmalWeb">
    <w:name w:val="Normal (Web)"/>
    <w:basedOn w:val="Normal"/>
    <w:uiPriority w:val="99"/>
    <w:unhideWhenUsed/>
    <w:rsid w:val="00F67E7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itecrochet1">
    <w:name w:val="cite_crochet1"/>
    <w:basedOn w:val="Policepardfaut"/>
    <w:rsid w:val="00F67E76"/>
    <w:rPr>
      <w:vanish/>
      <w:webHidden w:val="0"/>
      <w:specVanish w:val="0"/>
    </w:rPr>
  </w:style>
  <w:style w:type="paragraph" w:styleId="Textedebulles">
    <w:name w:val="Balloon Text"/>
    <w:basedOn w:val="Normal"/>
    <w:link w:val="TextedebullesCar"/>
    <w:uiPriority w:val="99"/>
    <w:semiHidden/>
    <w:unhideWhenUsed/>
    <w:rsid w:val="00F67E76"/>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F67E7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1994</Words>
  <Characters>10971</Characters>
  <Application>Microsoft Office Word</Application>
  <DocSecurity>0</DocSecurity>
  <Lines>91</Lines>
  <Paragraphs>25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12940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KOUACHE</dc:creator>
  <cp:keywords/>
  <dc:description/>
  <cp:lastModifiedBy>KOUACHE</cp:lastModifiedBy>
  <cp:revision>3</cp:revision>
  <dcterms:created xsi:type="dcterms:W3CDTF">2020-12-29T14:51:00Z</dcterms:created>
  <dcterms:modified xsi:type="dcterms:W3CDTF">2020-12-29T21:31:00Z</dcterms:modified>
</cp:coreProperties>
</file>